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D09" w:rsidRDefault="00C54D09" w:rsidP="00C54D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</w:pPr>
      <w:r w:rsidRPr="00C54D09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Ионное произведение воды.</w:t>
      </w:r>
    </w:p>
    <w:p w:rsidR="00C54D09" w:rsidRPr="00C54D09" w:rsidRDefault="00C54D09" w:rsidP="00C54D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C54D09" w:rsidRPr="00C54D09" w:rsidRDefault="00C54D09" w:rsidP="00C54D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Процессы образования ионов за счёт переноса протона при участии только молекул растворителя называют </w:t>
      </w:r>
      <w:proofErr w:type="spellStart"/>
      <w:r w:rsidRPr="00C54D0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самоионизацией</w:t>
      </w:r>
      <w:proofErr w:type="spellEnd"/>
      <w:r w:rsidRPr="00C54D0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C54D09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Pr="00C54D0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C54D0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автопротолизом</w:t>
      </w:r>
      <w:proofErr w:type="spellEnd"/>
      <w:r w:rsidRPr="00C54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растворителя (см. выше). Их, как и всякие равновесия, в соответствии с законом действия масс характеризуют константой</w:t>
      </w:r>
    </w:p>
    <w:p w:rsidR="00C54D09" w:rsidRPr="00C54D09" w:rsidRDefault="00C54D09" w:rsidP="00C54D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2" w:type="dxa"/>
        <w:tblLook w:val="0000" w:firstRow="0" w:lastRow="0" w:firstColumn="0" w:lastColumn="0" w:noHBand="0" w:noVBand="0"/>
      </w:tblPr>
      <w:tblGrid>
        <w:gridCol w:w="7920"/>
      </w:tblGrid>
      <w:tr w:rsidR="00C54D09" w:rsidRPr="00C54D09" w:rsidTr="00616B22"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:rsidR="00C54D09" w:rsidRPr="00C54D09" w:rsidRDefault="00C54D09" w:rsidP="00C5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54D09">
              <w:rPr>
                <w:rFonts w:ascii="Times New Roman" w:eastAsia="Times New Roman" w:hAnsi="Times New Roman" w:cs="Times New Roman"/>
                <w:position w:val="-30"/>
                <w:sz w:val="28"/>
                <w:szCs w:val="28"/>
                <w:lang w:eastAsia="ru-RU"/>
              </w:rPr>
              <w:object w:dxaOrig="2920" w:dyaOrig="7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6.65pt;height:36pt" o:ole="">
                  <v:imagedata r:id="rId5" o:title=""/>
                </v:shape>
                <o:OLEObject Type="Embed" ProgID="Equation.3" ShapeID="_x0000_i1025" DrawAspect="Content" ObjectID="_1425191220" r:id="rId6"/>
              </w:object>
            </w:r>
            <w:r w:rsidRPr="00C54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</w:t>
            </w:r>
            <w:r w:rsidRPr="00C54D0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t</w:t>
            </w:r>
            <w:r w:rsidRPr="00C54D0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= 25</w:t>
            </w:r>
            <w:r w:rsidRPr="00C54D0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t>0</w:t>
            </w:r>
            <w:r w:rsidRPr="00C54D0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 (298 K).</w:t>
            </w:r>
          </w:p>
        </w:tc>
      </w:tr>
    </w:tbl>
    <w:p w:rsidR="00C54D09" w:rsidRPr="00C54D09" w:rsidRDefault="00C54D09" w:rsidP="00C54D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54D09" w:rsidRPr="00C54D09" w:rsidRDefault="00C54D09" w:rsidP="00C54D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D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Объединяя две постоянные: </w:t>
      </w:r>
      <w:proofErr w:type="gramStart"/>
      <w:r w:rsidRPr="00C54D0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</w:t>
      </w:r>
      <w:proofErr w:type="gramEnd"/>
      <w:r w:rsidRPr="00C54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[</w:t>
      </w:r>
      <w:r w:rsidRPr="00C54D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C54D0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C54D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C54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], получаем новую постоянную – </w:t>
      </w:r>
      <w:r w:rsidRPr="00C54D0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константу </w:t>
      </w:r>
      <w:proofErr w:type="spellStart"/>
      <w:r w:rsidRPr="00C54D0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автопротолиза</w:t>
      </w:r>
      <w:proofErr w:type="spellEnd"/>
      <w:r w:rsidRPr="00C54D0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C54D09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Pr="00C54D0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ионное произведение </w:t>
      </w:r>
      <w:r w:rsidRPr="00C54D0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воды:</w:t>
      </w:r>
    </w:p>
    <w:p w:rsidR="00C54D09" w:rsidRPr="00C54D09" w:rsidRDefault="00C54D09" w:rsidP="00C54D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2" w:type="dxa"/>
        <w:tblLook w:val="0000" w:firstRow="0" w:lastRow="0" w:firstColumn="0" w:lastColumn="0" w:noHBand="0" w:noVBand="0"/>
      </w:tblPr>
      <w:tblGrid>
        <w:gridCol w:w="7920"/>
      </w:tblGrid>
      <w:tr w:rsidR="00C54D09" w:rsidRPr="00C54D09" w:rsidTr="00616B22"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:rsidR="00C54D09" w:rsidRPr="00C54D09" w:rsidRDefault="00C54D09" w:rsidP="00C5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D09">
              <w:rPr>
                <w:rFonts w:ascii="Times New Roman" w:eastAsia="Times New Roman" w:hAnsi="Times New Roman" w:cs="Times New Roman"/>
                <w:position w:val="-14"/>
                <w:sz w:val="28"/>
                <w:szCs w:val="28"/>
                <w:lang w:eastAsia="ru-RU"/>
              </w:rPr>
              <w:object w:dxaOrig="1620" w:dyaOrig="380">
                <v:shape id="_x0000_i1026" type="#_x0000_t75" style="width:80.8pt;height:18.45pt" o:ole="">
                  <v:imagedata r:id="rId7" o:title=""/>
                </v:shape>
                <o:OLEObject Type="Embed" ProgID="Equation.3" ShapeID="_x0000_i1026" DrawAspect="Content" ObjectID="_1425191221" r:id="rId8"/>
              </w:object>
            </w:r>
            <w:r w:rsidRPr="00C54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= 1,82 </w:t>
            </w:r>
            <w:r w:rsidRPr="00C54D0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.</w:t>
            </w:r>
            <w:r w:rsidRPr="00C54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</w:t>
            </w:r>
            <w:r w:rsidRPr="00C54D0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-16</w:t>
            </w:r>
            <w:r w:rsidRPr="00C54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54D0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.</w:t>
            </w:r>
            <w:r w:rsidRPr="00C54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55,35 = 10</w:t>
            </w:r>
            <w:r w:rsidRPr="00C54D0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-14</w:t>
            </w:r>
            <w:r w:rsidRPr="00C54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</w:tc>
      </w:tr>
    </w:tbl>
    <w:p w:rsidR="00C54D09" w:rsidRPr="00C54D09" w:rsidRDefault="00C54D09" w:rsidP="00C54D0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C54D09" w:rsidRPr="00C54D09" w:rsidRDefault="00C54D09" w:rsidP="00C54D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r w:rsidRPr="00C54D09">
        <w:rPr>
          <w:rFonts w:ascii="Times New Roman" w:eastAsia="Times New Roman" w:hAnsi="Times New Roman" w:cs="Times New Roman"/>
          <w:position w:val="-32"/>
          <w:sz w:val="28"/>
          <w:szCs w:val="28"/>
          <w:lang w:eastAsia="ru-RU"/>
        </w:rPr>
        <w:object w:dxaOrig="4819" w:dyaOrig="760">
          <v:shape id="_x0000_i1027" type="#_x0000_t75" style="width:239.7pt;height:38.65pt" o:ole="">
            <v:imagedata r:id="rId9" o:title=""/>
          </v:shape>
          <o:OLEObject Type="Embed" ProgID="Equation.3" ShapeID="_x0000_i1027" DrawAspect="Content" ObjectID="_1425191222" r:id="rId10"/>
        </w:object>
      </w:r>
    </w:p>
    <w:p w:rsidR="00C54D09" w:rsidRPr="00C54D09" w:rsidRDefault="00C54D09" w:rsidP="00C54D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D09" w:rsidRPr="00C54D09" w:rsidRDefault="00C54D09" w:rsidP="00C54D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D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Постоянство значения ионного произведения воды означает, что при любом изменении концентрац</w:t>
      </w:r>
      <w:proofErr w:type="gramStart"/>
      <w:r w:rsidRPr="00C54D09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ио</w:t>
      </w:r>
      <w:proofErr w:type="gramEnd"/>
      <w:r w:rsidRPr="00C54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 </w:t>
      </w:r>
      <w:proofErr w:type="spellStart"/>
      <w:r w:rsidRPr="00C54D09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гидроксония</w:t>
      </w:r>
      <w:proofErr w:type="spellEnd"/>
      <w:r w:rsidRPr="00C54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гидроксида их произведение при каждой данной температуре остаётся неизменным. Это возможно, но только если увеличение концентрации одного из них вызывает соответствующее уменьшение концентрации другого. Например, добавление к воде сильной одноосновной кислоты до 0,001М концентрации приводит к тому, что концентрация гидроксид-ионов уменьшается при 25</w:t>
      </w:r>
      <w:r w:rsidRPr="00C54D0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C54D09">
        <w:rPr>
          <w:rFonts w:ascii="Times New Roman" w:eastAsia="Times New Roman" w:hAnsi="Times New Roman" w:cs="Times New Roman"/>
          <w:sz w:val="28"/>
          <w:szCs w:val="28"/>
          <w:lang w:eastAsia="ru-RU"/>
        </w:rPr>
        <w:t>С (298 К) до 10</w:t>
      </w:r>
      <w:r w:rsidRPr="00C54D0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-12</w:t>
      </w:r>
      <w:r w:rsidRPr="00C54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моль/л</w:t>
      </w:r>
    </w:p>
    <w:p w:rsidR="00C54D09" w:rsidRPr="00C54D09" w:rsidRDefault="00C54D09" w:rsidP="00C54D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2" w:type="dxa"/>
        <w:tblLook w:val="0000" w:firstRow="0" w:lastRow="0" w:firstColumn="0" w:lastColumn="0" w:noHBand="0" w:noVBand="0"/>
      </w:tblPr>
      <w:tblGrid>
        <w:gridCol w:w="7920"/>
      </w:tblGrid>
      <w:tr w:rsidR="00C54D09" w:rsidRPr="00C54D09" w:rsidTr="00616B22"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:rsidR="00C54D09" w:rsidRPr="00C54D09" w:rsidRDefault="00C54D09" w:rsidP="00C5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D09">
              <w:rPr>
                <w:rFonts w:ascii="Times New Roman" w:eastAsia="Times New Roman" w:hAnsi="Times New Roman" w:cs="Times New Roman"/>
                <w:position w:val="-28"/>
                <w:sz w:val="28"/>
                <w:szCs w:val="28"/>
                <w:lang w:eastAsia="ru-RU"/>
              </w:rPr>
              <w:object w:dxaOrig="3360" w:dyaOrig="700">
                <v:shape id="_x0000_i1028" type="#_x0000_t75" style="width:167.7pt;height:35.1pt" o:ole="">
                  <v:imagedata r:id="rId11" o:title=""/>
                </v:shape>
                <o:OLEObject Type="Embed" ProgID="Equation.3" ShapeID="_x0000_i1028" DrawAspect="Content" ObjectID="_1425191223" r:id="rId12"/>
              </w:object>
            </w:r>
            <w:r w:rsidRPr="00C54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моль/</w:t>
            </w:r>
            <w:proofErr w:type="gramStart"/>
            <w:r w:rsidRPr="00C54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proofErr w:type="gramEnd"/>
            <w:r w:rsidRPr="00C54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C54D09" w:rsidRPr="00C54D09" w:rsidRDefault="00C54D09" w:rsidP="00C54D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D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Из уравнения </w:t>
      </w:r>
      <w:proofErr w:type="spellStart"/>
      <w:r w:rsidRPr="00C54D09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автопротолиза</w:t>
      </w:r>
      <w:proofErr w:type="spellEnd"/>
      <w:r w:rsidRPr="00C54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видно, что ионы </w:t>
      </w:r>
      <w:proofErr w:type="spellStart"/>
      <w:r w:rsidRPr="00C54D09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гидроксония</w:t>
      </w:r>
      <w:proofErr w:type="spellEnd"/>
      <w:r w:rsidRPr="00C54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гидроксида образуются в равных количествах. Следовательно, при отсутствии в воде посторонних веществ их концентрации будут равны:</w:t>
      </w:r>
    </w:p>
    <w:p w:rsidR="00C54D09" w:rsidRPr="00C54D09" w:rsidRDefault="00C54D09" w:rsidP="00C54D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2" w:type="dxa"/>
        <w:tblLook w:val="0000" w:firstRow="0" w:lastRow="0" w:firstColumn="0" w:lastColumn="0" w:noHBand="0" w:noVBand="0"/>
      </w:tblPr>
      <w:tblGrid>
        <w:gridCol w:w="7920"/>
      </w:tblGrid>
      <w:tr w:rsidR="00C54D09" w:rsidRPr="00C54D09" w:rsidTr="00616B22"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:rsidR="00C54D09" w:rsidRPr="00C54D09" w:rsidRDefault="00C54D09" w:rsidP="00C5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D09">
              <w:rPr>
                <w:rFonts w:ascii="Times New Roman" w:eastAsia="Times New Roman" w:hAnsi="Times New Roman" w:cs="Times New Roman"/>
                <w:position w:val="-12"/>
                <w:sz w:val="28"/>
                <w:szCs w:val="28"/>
                <w:lang w:eastAsia="ru-RU"/>
              </w:rPr>
              <w:object w:dxaOrig="3440" w:dyaOrig="440">
                <v:shape id="_x0000_i1029" type="#_x0000_t75" style="width:170.35pt;height:21.95pt" o:ole="">
                  <v:imagedata r:id="rId13" o:title=""/>
                </v:shape>
                <o:OLEObject Type="Embed" ProgID="Equation.3" ShapeID="_x0000_i1029" DrawAspect="Content" ObjectID="_1425191224" r:id="rId14"/>
              </w:object>
            </w:r>
            <w:r w:rsidRPr="00C54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моль</w:t>
            </w:r>
            <w:r w:rsidRPr="00C54D0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/</w:t>
            </w:r>
            <w:proofErr w:type="gramStart"/>
            <w:r w:rsidRPr="00C54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proofErr w:type="gramEnd"/>
            <w:r w:rsidRPr="00C54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C54D09" w:rsidRPr="00C54D09" w:rsidRDefault="00C54D09" w:rsidP="00C54D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D09" w:rsidRPr="00C54D09" w:rsidRDefault="00C54D09" w:rsidP="00C54D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D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Константу </w:t>
      </w:r>
      <w:proofErr w:type="spellStart"/>
      <w:r w:rsidRPr="00C54D09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автопротолиза</w:t>
      </w:r>
      <w:proofErr w:type="spellEnd"/>
      <w:r w:rsidRPr="00C54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удобства представляют в виде р-функции константы </w:t>
      </w:r>
      <w:proofErr w:type="spellStart"/>
      <w:r w:rsidRPr="00C54D09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автопротолиза</w:t>
      </w:r>
      <w:proofErr w:type="spellEnd"/>
      <w:r w:rsidRPr="00C54D09">
        <w:rPr>
          <w:rFonts w:ascii="Times New Roman" w:eastAsia="Times New Roman" w:hAnsi="Times New Roman" w:cs="Times New Roman"/>
          <w:sz w:val="28"/>
          <w:szCs w:val="28"/>
          <w:lang w:eastAsia="ru-RU"/>
        </w:rPr>
        <w:t>, т. е. её отрицательного десятичного логарифма:</w:t>
      </w:r>
    </w:p>
    <w:p w:rsidR="00C54D09" w:rsidRPr="00C54D09" w:rsidRDefault="00C54D09" w:rsidP="00C54D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2" w:type="dxa"/>
        <w:tblLook w:val="0000" w:firstRow="0" w:lastRow="0" w:firstColumn="0" w:lastColumn="0" w:noHBand="0" w:noVBand="0"/>
      </w:tblPr>
      <w:tblGrid>
        <w:gridCol w:w="7920"/>
      </w:tblGrid>
      <w:tr w:rsidR="00C54D09" w:rsidRPr="00C54D09" w:rsidTr="00616B22"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:rsidR="00C54D09" w:rsidRPr="00C54D09" w:rsidRDefault="00C54D09" w:rsidP="00C5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</w:pPr>
            <w:r w:rsidRPr="00C54D09">
              <w:rPr>
                <w:rFonts w:ascii="Times New Roman" w:eastAsia="Times New Roman" w:hAnsi="Times New Roman" w:cs="Times New Roman"/>
                <w:position w:val="-20"/>
                <w:sz w:val="28"/>
                <w:szCs w:val="28"/>
                <w:vertAlign w:val="subscript"/>
                <w:lang w:eastAsia="ru-RU"/>
              </w:rPr>
              <w:object w:dxaOrig="4180" w:dyaOrig="460">
                <v:shape id="_x0000_i1030" type="#_x0000_t75" style="width:209.85pt;height:23.7pt" o:ole="">
                  <v:imagedata r:id="rId15" o:title=""/>
                </v:shape>
                <o:OLEObject Type="Embed" ProgID="Equation.3" ShapeID="_x0000_i1030" DrawAspect="Content" ObjectID="_1425191225" r:id="rId16"/>
              </w:object>
            </w:r>
          </w:p>
        </w:tc>
      </w:tr>
    </w:tbl>
    <w:p w:rsidR="00C54D09" w:rsidRPr="00C54D09" w:rsidRDefault="00C54D09" w:rsidP="00C54D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D09" w:rsidRPr="00C54D09" w:rsidRDefault="00C54D09" w:rsidP="00C54D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D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Концентрацию протонов и ионов гидроксида также представляют в виде их р-функций. Соответственно, </w:t>
      </w:r>
      <w:r w:rsidRPr="00C54D0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водородный показатель</w:t>
      </w:r>
      <w:r w:rsidRPr="00C54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рН = – </w:t>
      </w:r>
      <w:proofErr w:type="spellStart"/>
      <w:r w:rsidRPr="00C54D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lg</w:t>
      </w:r>
      <w:proofErr w:type="spellEnd"/>
      <w:r w:rsidRPr="00C54D09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Pr="00C54D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C54D0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+</w:t>
      </w:r>
      <w:r w:rsidRPr="00C54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]; </w:t>
      </w:r>
      <w:proofErr w:type="spellStart"/>
      <w:r w:rsidRPr="00C54D0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гидроксидный</w:t>
      </w:r>
      <w:proofErr w:type="spellEnd"/>
      <w:r w:rsidRPr="00C54D0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показатель</w:t>
      </w:r>
      <w:r w:rsidRPr="00C54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C54D0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рОН</w:t>
      </w:r>
      <w:proofErr w:type="spellEnd"/>
      <w:r w:rsidRPr="00C54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– </w:t>
      </w:r>
      <w:proofErr w:type="spellStart"/>
      <w:r w:rsidRPr="00C54D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lg</w:t>
      </w:r>
      <w:proofErr w:type="spellEnd"/>
      <w:r w:rsidRPr="00C54D09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Pr="00C54D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OH</w:t>
      </w:r>
      <w:r w:rsidRPr="00C54D09">
        <w:rPr>
          <w:rFonts w:ascii="Times New Roman" w:eastAsia="Times New Roman" w:hAnsi="Times New Roman" w:cs="Times New Roman"/>
          <w:sz w:val="28"/>
          <w:szCs w:val="28"/>
          <w:lang w:eastAsia="ru-RU"/>
        </w:rPr>
        <w:t>].</w:t>
      </w:r>
    </w:p>
    <w:p w:rsidR="00C54D09" w:rsidRPr="00C54D09" w:rsidRDefault="00C54D09" w:rsidP="00C54D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D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Сумма водородного и гидроксильного показателей в воде постоянна и равна показателю константы </w:t>
      </w:r>
      <w:proofErr w:type="spellStart"/>
      <w:r w:rsidRPr="00C54D09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автопротолиза</w:t>
      </w:r>
      <w:proofErr w:type="spellEnd"/>
      <w:r w:rsidRPr="00C54D09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298</w:t>
      </w:r>
      <w:proofErr w:type="gramStart"/>
      <w:r w:rsidRPr="00C54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Pr="00C54D0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54D09" w:rsidRPr="00C54D09" w:rsidRDefault="00C54D09" w:rsidP="00C54D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2" w:type="dxa"/>
        <w:tblLook w:val="0000" w:firstRow="0" w:lastRow="0" w:firstColumn="0" w:lastColumn="0" w:noHBand="0" w:noVBand="0"/>
      </w:tblPr>
      <w:tblGrid>
        <w:gridCol w:w="7920"/>
      </w:tblGrid>
      <w:tr w:rsidR="00C54D09" w:rsidRPr="00C54D09" w:rsidTr="00616B22"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:rsidR="00C54D09" w:rsidRPr="00C54D09" w:rsidRDefault="00C54D09" w:rsidP="00C5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D09">
              <w:rPr>
                <w:rFonts w:ascii="Times New Roman" w:eastAsia="Times New Roman" w:hAnsi="Times New Roman" w:cs="Times New Roman"/>
                <w:position w:val="-20"/>
                <w:sz w:val="28"/>
                <w:szCs w:val="28"/>
                <w:lang w:eastAsia="ru-RU"/>
              </w:rPr>
              <w:object w:dxaOrig="2700" w:dyaOrig="440">
                <v:shape id="_x0000_i1031" type="#_x0000_t75" style="width:135.2pt;height:21.95pt" o:ole="">
                  <v:imagedata r:id="rId17" o:title=""/>
                </v:shape>
                <o:OLEObject Type="Embed" ProgID="Equation.3" ShapeID="_x0000_i1031" DrawAspect="Content" ObjectID="_1425191226" r:id="rId18"/>
              </w:object>
            </w:r>
          </w:p>
        </w:tc>
      </w:tr>
    </w:tbl>
    <w:p w:rsidR="00C54D09" w:rsidRPr="00C54D09" w:rsidRDefault="00C54D09" w:rsidP="00C54D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D09" w:rsidRPr="00C54D09" w:rsidRDefault="00C54D09" w:rsidP="00C54D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D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Таким </w:t>
      </w:r>
      <w:proofErr w:type="gramStart"/>
      <w:r w:rsidRPr="00C54D0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образом</w:t>
      </w:r>
      <w:proofErr w:type="gramEnd"/>
      <w:r w:rsidRPr="00C54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шкала кислотности разбавленных водных растворов равна 14, именно на такую шкалу градуируются приборы, которые применяются для измерения рН водных растворов. Если рН = 7, то это нейтральный раствор, если рН &lt; 7, то это кислый раствор и если рН &gt; 7, то раствор щелочной.</w:t>
      </w:r>
    </w:p>
    <w:p w:rsidR="00812D65" w:rsidRDefault="00812D65"/>
    <w:sectPr w:rsidR="00812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D09"/>
    <w:rsid w:val="00812D65"/>
    <w:rsid w:val="00C5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1p</dc:creator>
  <cp:lastModifiedBy>1p</cp:lastModifiedBy>
  <cp:revision>1</cp:revision>
  <dcterms:created xsi:type="dcterms:W3CDTF">2013-03-19T05:36:00Z</dcterms:created>
  <dcterms:modified xsi:type="dcterms:W3CDTF">2013-03-19T05:36:00Z</dcterms:modified>
</cp:coreProperties>
</file>