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9E" w:rsidRPr="00AA3352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A3352">
        <w:rPr>
          <w:sz w:val="28"/>
          <w:szCs w:val="28"/>
        </w:rPr>
        <w:t>ПОЛУЧЕНИЕ СПЕКТРОВ ПМР</w:t>
      </w:r>
    </w:p>
    <w:p w:rsidR="00AA4C9E" w:rsidRPr="00AA3352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A3352">
        <w:rPr>
          <w:sz w:val="28"/>
          <w:szCs w:val="28"/>
        </w:rPr>
        <w:t xml:space="preserve">Для получения спектра ПМР достаточно высокого разрешения используются в основном жидкие маловязкие образцы. Вещество помещают в виде раствора в тонкую (диаметром </w:t>
      </w:r>
      <w:smartTag w:uri="urn:schemas-microsoft-com:office:smarttags" w:element="metricconverter">
        <w:smartTagPr>
          <w:attr w:name="ProductID" w:val="5 мм"/>
        </w:smartTagPr>
        <w:r w:rsidRPr="00AA3352">
          <w:rPr>
            <w:sz w:val="28"/>
            <w:szCs w:val="28"/>
          </w:rPr>
          <w:t>5 мм</w:t>
        </w:r>
      </w:smartTag>
      <w:r w:rsidRPr="00AA3352">
        <w:rPr>
          <w:sz w:val="28"/>
          <w:szCs w:val="28"/>
        </w:rPr>
        <w:t xml:space="preserve">) цилиндрическую ампулу длиной ~ </w:t>
      </w:r>
      <w:smartTag w:uri="urn:schemas-microsoft-com:office:smarttags" w:element="metricconverter">
        <w:smartTagPr>
          <w:attr w:name="ProductID" w:val="150 мм"/>
        </w:smartTagPr>
        <w:r w:rsidRPr="00AA3352">
          <w:rPr>
            <w:sz w:val="28"/>
            <w:szCs w:val="28"/>
          </w:rPr>
          <w:t>150 мм</w:t>
        </w:r>
      </w:smartTag>
      <w:r w:rsidRPr="00AA3352">
        <w:rPr>
          <w:sz w:val="28"/>
          <w:szCs w:val="28"/>
        </w:rPr>
        <w:t xml:space="preserve">. Ампула заполняется на </w:t>
      </w:r>
      <w:r w:rsidRPr="004D43C2">
        <w:rPr>
          <w:sz w:val="28"/>
          <w:szCs w:val="28"/>
        </w:rPr>
        <w:t>4</w:t>
      </w:r>
      <w:r w:rsidRPr="00AA3352">
        <w:rPr>
          <w:sz w:val="28"/>
          <w:szCs w:val="28"/>
        </w:rPr>
        <w:t>0—</w:t>
      </w:r>
      <w:r w:rsidRPr="004D43C2">
        <w:rPr>
          <w:sz w:val="28"/>
          <w:szCs w:val="28"/>
        </w:rPr>
        <w:t>5</w:t>
      </w:r>
      <w:r w:rsidRPr="00AA3352">
        <w:rPr>
          <w:sz w:val="28"/>
          <w:szCs w:val="28"/>
        </w:rPr>
        <w:t>0 мм, для чего требуется около 0,</w:t>
      </w:r>
      <w:r w:rsidRPr="004D43C2">
        <w:rPr>
          <w:sz w:val="28"/>
          <w:szCs w:val="28"/>
        </w:rPr>
        <w:t>5</w:t>
      </w:r>
      <w:r w:rsidRPr="00AA3352">
        <w:rPr>
          <w:sz w:val="28"/>
          <w:szCs w:val="28"/>
        </w:rPr>
        <w:t xml:space="preserve"> мл раствора. Концентрация этого раствора обычно составляет 0,2 моль/</w:t>
      </w:r>
      <w:proofErr w:type="gramStart"/>
      <w:r w:rsidRPr="00AA3352">
        <w:rPr>
          <w:sz w:val="28"/>
          <w:szCs w:val="28"/>
        </w:rPr>
        <w:t>л</w:t>
      </w:r>
      <w:proofErr w:type="gramEnd"/>
      <w:r w:rsidRPr="00AA3352">
        <w:rPr>
          <w:sz w:val="28"/>
          <w:szCs w:val="28"/>
        </w:rPr>
        <w:t xml:space="preserve">, или 5—20 %, т. е. для приготовления пробы требуется 5—10 мг вещества. </w:t>
      </w:r>
      <w:proofErr w:type="gramStart"/>
      <w:r w:rsidRPr="00AA3352">
        <w:rPr>
          <w:sz w:val="28"/>
          <w:szCs w:val="28"/>
        </w:rPr>
        <w:t xml:space="preserve">Применяемый растворитель в идеальном случае не должен содержать собственных протонов (ССЦ и </w:t>
      </w:r>
      <w:proofErr w:type="spellStart"/>
      <w:r w:rsidRPr="00AA3352">
        <w:rPr>
          <w:sz w:val="28"/>
          <w:szCs w:val="28"/>
        </w:rPr>
        <w:t>дейтерированные</w:t>
      </w:r>
      <w:proofErr w:type="spellEnd"/>
      <w:r w:rsidRPr="00AA3352">
        <w:rPr>
          <w:sz w:val="28"/>
          <w:szCs w:val="28"/>
        </w:rPr>
        <w:t xml:space="preserve"> растворители:</w:t>
      </w:r>
      <w:proofErr w:type="gramEnd"/>
      <w:r w:rsidRPr="00AA3352">
        <w:rPr>
          <w:sz w:val="28"/>
          <w:szCs w:val="28"/>
        </w:rPr>
        <w:t xml:space="preserve"> </w:t>
      </w:r>
      <w:proofErr w:type="gramStart"/>
      <w:r w:rsidRPr="00AA3352">
        <w:rPr>
          <w:sz w:val="28"/>
          <w:szCs w:val="28"/>
        </w:rPr>
        <w:t>D2O, CDC13, C6D6, CD3COCD3 и т. д.).</w:t>
      </w:r>
      <w:proofErr w:type="gramEnd"/>
      <w:r w:rsidRPr="00AA3352">
        <w:rPr>
          <w:sz w:val="28"/>
          <w:szCs w:val="28"/>
        </w:rPr>
        <w:t xml:space="preserve"> В ампулу вводится также небольшое количество (~1%) ТМС в качестве внутреннего эталона.</w:t>
      </w:r>
    </w:p>
    <w:p w:rsidR="00AA4C9E" w:rsidRPr="00AA3352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A3352">
        <w:rPr>
          <w:sz w:val="28"/>
          <w:szCs w:val="28"/>
        </w:rPr>
        <w:t xml:space="preserve">Ампула с образцом помещается в мощное постоянное магнитное поле; напряженность поля в зависимости от рабочей частоты составляет 14—117,4 </w:t>
      </w:r>
      <w:proofErr w:type="spellStart"/>
      <w:r w:rsidRPr="00AA3352">
        <w:rPr>
          <w:sz w:val="28"/>
          <w:szCs w:val="28"/>
        </w:rPr>
        <w:t>кГс</w:t>
      </w:r>
      <w:proofErr w:type="spellEnd"/>
      <w:r w:rsidRPr="00AA3352">
        <w:rPr>
          <w:sz w:val="28"/>
          <w:szCs w:val="28"/>
        </w:rPr>
        <w:t xml:space="preserve"> (</w:t>
      </w:r>
      <w:proofErr w:type="spellStart"/>
      <w:r w:rsidRPr="00AA3352">
        <w:rPr>
          <w:sz w:val="28"/>
          <w:szCs w:val="28"/>
        </w:rPr>
        <w:t>килогаусс</w:t>
      </w:r>
      <w:proofErr w:type="spellEnd"/>
      <w:r w:rsidRPr="00AA3352">
        <w:rPr>
          <w:sz w:val="28"/>
          <w:szCs w:val="28"/>
        </w:rPr>
        <w:t>). К однородности этого поля предъявляются очень высокие требования, так как ею в основном</w:t>
      </w:r>
      <w:r>
        <w:rPr>
          <w:sz w:val="28"/>
          <w:szCs w:val="28"/>
        </w:rPr>
        <w:t xml:space="preserve"> </w:t>
      </w:r>
      <w:r w:rsidRPr="00AA3352">
        <w:rPr>
          <w:sz w:val="28"/>
          <w:szCs w:val="28"/>
        </w:rPr>
        <w:t>определяется качество получаемых спектров. Ампула в приборе вращается, чтобы исключить возможность проявления неоднородности образца. Очень важно отсутствие в образце нерастворимых частиц, которые могут вызвать местное изменение поля.</w:t>
      </w:r>
    </w:p>
    <w:p w:rsidR="00AA4C9E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A3352">
        <w:rPr>
          <w:sz w:val="28"/>
          <w:szCs w:val="28"/>
        </w:rPr>
        <w:t xml:space="preserve">В перпендикулярном направлении к основному прикладывается вращающееся магнитное поле, имеющее постоянную частоту (например, </w:t>
      </w:r>
      <w:r w:rsidRPr="004D43C2">
        <w:rPr>
          <w:sz w:val="28"/>
          <w:szCs w:val="28"/>
        </w:rPr>
        <w:t>1</w:t>
      </w:r>
      <w:r w:rsidRPr="00AA3352">
        <w:rPr>
          <w:sz w:val="28"/>
          <w:szCs w:val="28"/>
        </w:rPr>
        <w:t>00 или 3</w:t>
      </w:r>
      <w:r w:rsidRPr="004D43C2">
        <w:rPr>
          <w:sz w:val="28"/>
          <w:szCs w:val="28"/>
        </w:rPr>
        <w:t>0</w:t>
      </w:r>
      <w:r w:rsidRPr="00AA3352">
        <w:rPr>
          <w:sz w:val="28"/>
          <w:szCs w:val="28"/>
        </w:rPr>
        <w:t>0 МГц или более), и накладывается дополнительное вращающееся поле изменяющейся частоты (например, 0—</w:t>
      </w:r>
      <w:r>
        <w:rPr>
          <w:sz w:val="28"/>
          <w:szCs w:val="28"/>
        </w:rPr>
        <w:t>60</w:t>
      </w:r>
      <w:r w:rsidRPr="00AA3352">
        <w:rPr>
          <w:sz w:val="28"/>
          <w:szCs w:val="28"/>
        </w:rPr>
        <w:t xml:space="preserve">00 Гц для рабочей частоты </w:t>
      </w:r>
      <w:r>
        <w:rPr>
          <w:sz w:val="28"/>
          <w:szCs w:val="28"/>
        </w:rPr>
        <w:t>30</w:t>
      </w:r>
      <w:r w:rsidRPr="00AA3352">
        <w:rPr>
          <w:sz w:val="28"/>
          <w:szCs w:val="28"/>
        </w:rPr>
        <w:t xml:space="preserve">0 МГц). Поглощение энергии при данной частоте регистрируется специальным датчиком. Спектр представляет собой зависимость интенсивности поглощения энергии от величины </w:t>
      </w:r>
      <w:r>
        <w:rPr>
          <w:sz w:val="28"/>
          <w:szCs w:val="28"/>
        </w:rPr>
        <w:sym w:font="Symbol" w:char="F064"/>
      </w:r>
      <w:r w:rsidRPr="00AA3352">
        <w:rPr>
          <w:sz w:val="28"/>
          <w:szCs w:val="28"/>
        </w:rPr>
        <w:t xml:space="preserve">, отражающей изменение частоты вращающегося поля. Обычно спектр выглядит как набор узких резонансных сигналов, соответствующих отдельным типам протонов. Для определения </w:t>
      </w:r>
      <w:r w:rsidRPr="00AA3352">
        <w:rPr>
          <w:sz w:val="28"/>
          <w:szCs w:val="28"/>
        </w:rPr>
        <w:lastRenderedPageBreak/>
        <w:t xml:space="preserve">интенсивности (точнее, площади) сигналов современные приборы снабжены устройством для электронного интегрирования спектров. </w:t>
      </w:r>
    </w:p>
    <w:p w:rsidR="00AA4C9E" w:rsidRPr="006972FE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AA3352">
        <w:rPr>
          <w:sz w:val="28"/>
          <w:szCs w:val="28"/>
        </w:rPr>
        <w:t>Таким образом, спектр ПМР позволяет определить количество различающихся типов протонов и число протонов каждого данного типа.</w:t>
      </w:r>
    </w:p>
    <w:p w:rsidR="00AA4C9E" w:rsidRPr="006F6428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6F6428">
        <w:rPr>
          <w:sz w:val="28"/>
          <w:szCs w:val="28"/>
        </w:rPr>
        <w:t>Наблюдать протонные спектры на резонансных частотах</w:t>
      </w:r>
      <w:r>
        <w:rPr>
          <w:sz w:val="28"/>
          <w:szCs w:val="28"/>
        </w:rPr>
        <w:t xml:space="preserve"> </w:t>
      </w:r>
      <w:r w:rsidRPr="006F6428">
        <w:rPr>
          <w:sz w:val="28"/>
          <w:szCs w:val="28"/>
        </w:rPr>
        <w:t xml:space="preserve">выше 100 МГц можно только с использованием сверхпроводящих </w:t>
      </w:r>
      <w:r>
        <w:rPr>
          <w:sz w:val="28"/>
          <w:szCs w:val="28"/>
        </w:rPr>
        <w:t>магни</w:t>
      </w:r>
      <w:r w:rsidRPr="006F6428">
        <w:rPr>
          <w:sz w:val="28"/>
          <w:szCs w:val="28"/>
        </w:rPr>
        <w:t>тов.</w:t>
      </w:r>
      <w:r>
        <w:rPr>
          <w:sz w:val="28"/>
          <w:szCs w:val="28"/>
        </w:rPr>
        <w:t xml:space="preserve"> Такой магнит имеет следующее устройство:</w:t>
      </w:r>
      <w:r w:rsidRPr="006F6428">
        <w:rPr>
          <w:sz w:val="28"/>
          <w:szCs w:val="28"/>
        </w:rPr>
        <w:t xml:space="preserve"> Соленоид, намотанный из сплавов ниобия, погружен в емкость с</w:t>
      </w:r>
      <w:r>
        <w:rPr>
          <w:sz w:val="28"/>
          <w:szCs w:val="28"/>
        </w:rPr>
        <w:t xml:space="preserve"> </w:t>
      </w:r>
      <w:r w:rsidRPr="006F6428">
        <w:rPr>
          <w:sz w:val="28"/>
          <w:szCs w:val="28"/>
        </w:rPr>
        <w:t>жидким гелием, которая находится внутри высококачественного криостата</w:t>
      </w:r>
      <w:r>
        <w:rPr>
          <w:sz w:val="28"/>
          <w:szCs w:val="28"/>
        </w:rPr>
        <w:t xml:space="preserve"> </w:t>
      </w:r>
      <w:r w:rsidRPr="006F6428">
        <w:rPr>
          <w:sz w:val="28"/>
          <w:szCs w:val="28"/>
        </w:rPr>
        <w:t>(большой цилиндр справа на рис. 1.3). Криостат имеет внешнюю охлаждающую рубашку для охлаждения «радиационного экрана», заполненную</w:t>
      </w:r>
      <w:r>
        <w:rPr>
          <w:sz w:val="28"/>
          <w:szCs w:val="28"/>
        </w:rPr>
        <w:t xml:space="preserve"> </w:t>
      </w:r>
      <w:r w:rsidRPr="006F6428">
        <w:rPr>
          <w:sz w:val="28"/>
          <w:szCs w:val="28"/>
        </w:rPr>
        <w:t>жидким азотом. Продуманная конструкция и тщательное изготовление криостата обеспечивают низкий расход жидкого гелия. Его добавляют в</w:t>
      </w:r>
      <w:r>
        <w:rPr>
          <w:sz w:val="28"/>
          <w:szCs w:val="28"/>
        </w:rPr>
        <w:t xml:space="preserve"> </w:t>
      </w:r>
      <w:r w:rsidRPr="006F6428">
        <w:rPr>
          <w:sz w:val="28"/>
          <w:szCs w:val="28"/>
        </w:rPr>
        <w:t xml:space="preserve">криостат каждые </w:t>
      </w:r>
      <w:r>
        <w:rPr>
          <w:sz w:val="28"/>
          <w:szCs w:val="28"/>
        </w:rPr>
        <w:t>1</w:t>
      </w:r>
      <w:r w:rsidRPr="006F6428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6F6428">
        <w:rPr>
          <w:sz w:val="28"/>
          <w:szCs w:val="28"/>
        </w:rPr>
        <w:t xml:space="preserve"> </w:t>
      </w:r>
      <w:proofErr w:type="spellStart"/>
      <w:proofErr w:type="gramStart"/>
      <w:r w:rsidRPr="006F6428">
        <w:rPr>
          <w:sz w:val="28"/>
          <w:szCs w:val="28"/>
        </w:rPr>
        <w:t>мес</w:t>
      </w:r>
      <w:proofErr w:type="spellEnd"/>
      <w:proofErr w:type="gramEnd"/>
      <w:r w:rsidRPr="006F6428">
        <w:rPr>
          <w:sz w:val="28"/>
          <w:szCs w:val="28"/>
        </w:rPr>
        <w:t xml:space="preserve"> в зависимости от модели конструкции. Внутри отверстия магнита помещен набор градиентных катушек для устранения градиентов поля («</w:t>
      </w:r>
      <w:proofErr w:type="spellStart"/>
      <w:r w:rsidRPr="006F6428">
        <w:rPr>
          <w:sz w:val="28"/>
          <w:szCs w:val="28"/>
        </w:rPr>
        <w:t>шиммы</w:t>
      </w:r>
      <w:proofErr w:type="spellEnd"/>
      <w:r w:rsidRPr="006F6428">
        <w:rPr>
          <w:sz w:val="28"/>
          <w:szCs w:val="28"/>
        </w:rPr>
        <w:t>»), а внутри их находится датчик</w:t>
      </w:r>
      <w:r>
        <w:rPr>
          <w:sz w:val="28"/>
          <w:szCs w:val="28"/>
        </w:rPr>
        <w:t xml:space="preserve"> </w:t>
      </w:r>
      <w:r w:rsidRPr="006F6428">
        <w:rPr>
          <w:sz w:val="28"/>
          <w:szCs w:val="28"/>
        </w:rPr>
        <w:t xml:space="preserve">ЯМР (рис. 1.5). Датчик - самая ответственная часть всей системы. Он обеспечивает передачу импульсов к образцу и регистрацию сигналов ЯМР. В спектрометре, MSL-300, датчики вставляются снизу с основания криостата в активную область магнита. При необходимости датчик можно заменить </w:t>
      </w:r>
      <w:proofErr w:type="gramStart"/>
      <w:r w:rsidRPr="006F6428">
        <w:rPr>
          <w:sz w:val="28"/>
          <w:szCs w:val="28"/>
        </w:rPr>
        <w:t>на</w:t>
      </w:r>
      <w:proofErr w:type="gramEnd"/>
      <w:r w:rsidRPr="006F6428">
        <w:rPr>
          <w:sz w:val="28"/>
          <w:szCs w:val="28"/>
        </w:rPr>
        <w:t xml:space="preserve"> другой. Образцы для измерений готовятся в обычных цилиндрических ампулах для ЯМР. Образец опускается через верхнее отверстие в зазор криостата и попадает в верхнюю часть датчика. Образец вращается вокруг вертикальной оси с помощью воздушной </w:t>
      </w:r>
      <w:proofErr w:type="spellStart"/>
      <w:r w:rsidRPr="006F6428">
        <w:rPr>
          <w:sz w:val="28"/>
          <w:szCs w:val="28"/>
        </w:rPr>
        <w:t>турбинки</w:t>
      </w:r>
      <w:proofErr w:type="spellEnd"/>
      <w:r w:rsidRPr="006F6428">
        <w:rPr>
          <w:sz w:val="28"/>
          <w:szCs w:val="28"/>
        </w:rPr>
        <w:t xml:space="preserve">. </w:t>
      </w:r>
      <w:proofErr w:type="spellStart"/>
      <w:r w:rsidRPr="006F6428">
        <w:rPr>
          <w:sz w:val="28"/>
          <w:szCs w:val="28"/>
        </w:rPr>
        <w:t>Шиммирующие</w:t>
      </w:r>
      <w:proofErr w:type="spellEnd"/>
      <w:r w:rsidRPr="006F6428">
        <w:rPr>
          <w:sz w:val="28"/>
          <w:szCs w:val="28"/>
        </w:rPr>
        <w:t xml:space="preserve"> катушки для настройки однородности поля, датчик и образец находятся при комнатной температуре, хотя совсем рядом с ними поддерживается температура жидкого гелия 4 К.</w:t>
      </w:r>
    </w:p>
    <w:p w:rsidR="00AA4C9E" w:rsidRPr="002D3A06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6F6428">
        <w:rPr>
          <w:sz w:val="28"/>
          <w:szCs w:val="28"/>
        </w:rPr>
        <w:t>Пульт спектрометра содержит генератор радиочастотных импульсов и приемник для регистрации сигналов ЯМР. Оба этих блока похожи на обычные радиоустройства.</w:t>
      </w:r>
      <w:r w:rsidRPr="006972FE">
        <w:rPr>
          <w:sz w:val="28"/>
          <w:szCs w:val="28"/>
        </w:rPr>
        <w:t xml:space="preserve"> </w:t>
      </w:r>
      <w:r w:rsidRPr="006F6428">
        <w:rPr>
          <w:sz w:val="28"/>
          <w:szCs w:val="28"/>
        </w:rPr>
        <w:t xml:space="preserve">В современных спектрометрах </w:t>
      </w:r>
      <w:r w:rsidRPr="006F6428">
        <w:rPr>
          <w:sz w:val="28"/>
          <w:szCs w:val="28"/>
        </w:rPr>
        <w:lastRenderedPageBreak/>
        <w:t>предусматриваются возможности для получения самых разных импульсных последовательностей с различной продолжительностью и фазой, т.е. для осуществления «импульсного программирования». Все функции спектрометра находятся под контролем компьютера, который также используется для обработки данных и представления результатов. Электрические сигналы ЯМР превращаются в цифровые данные для ввода в компьютер с помощью аналого-цифрового преобразователя. Именно он часто является узким местом, ограничивающим класс эксперимент</w:t>
      </w:r>
      <w:r>
        <w:rPr>
          <w:sz w:val="28"/>
          <w:szCs w:val="28"/>
        </w:rPr>
        <w:t>ов, которые мы можем выполнять.</w:t>
      </w:r>
    </w:p>
    <w:p w:rsidR="00AA4C9E" w:rsidRPr="00AA4C9E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современные ЯМР-спектрометры высокого разрешения работают по принципу импульсного ЯМР. Это означает, что вместо метода непрерывной </w:t>
      </w:r>
      <w:proofErr w:type="gramStart"/>
      <w:r>
        <w:rPr>
          <w:sz w:val="28"/>
          <w:szCs w:val="28"/>
        </w:rPr>
        <w:t>развертки</w:t>
      </w:r>
      <w:proofErr w:type="gramEnd"/>
      <w:r>
        <w:rPr>
          <w:sz w:val="28"/>
          <w:szCs w:val="28"/>
        </w:rPr>
        <w:t xml:space="preserve"> при котором для увеличения разрешения требуется существенное увеличение времени эксперимента, по данному методу образец облучается коротким и мощным радиочастотным импульсом, а затем фиксируется затухающий отклик, который называют </w:t>
      </w:r>
      <w:proofErr w:type="spellStart"/>
      <w:r w:rsidRPr="00D946EF">
        <w:rPr>
          <w:sz w:val="28"/>
          <w:szCs w:val="28"/>
        </w:rPr>
        <w:t>fid</w:t>
      </w:r>
      <w:proofErr w:type="spellEnd"/>
      <w:r w:rsidRPr="002D3A0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D3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ССИ – спад свободной индукции. </w:t>
      </w:r>
    </w:p>
    <w:p w:rsidR="00AA4C9E" w:rsidRPr="00AA4C9E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</w:p>
    <w:p w:rsidR="00AA4C9E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D946EF">
        <w:rPr>
          <w:sz w:val="28"/>
          <w:szCs w:val="28"/>
        </w:rPr>
        <w:t>Затем мы можем повторить</w:t>
      </w:r>
      <w:r>
        <w:rPr>
          <w:sz w:val="28"/>
          <w:szCs w:val="28"/>
        </w:rPr>
        <w:t xml:space="preserve"> </w:t>
      </w:r>
      <w:r w:rsidRPr="00D946EF">
        <w:rPr>
          <w:sz w:val="28"/>
          <w:szCs w:val="28"/>
        </w:rPr>
        <w:t>эксперимент для улучшения отношения сигнал/шум.</w:t>
      </w:r>
      <w:r>
        <w:rPr>
          <w:sz w:val="28"/>
          <w:szCs w:val="28"/>
        </w:rPr>
        <w:t xml:space="preserve"> При увеличении количества повторений в н раз соотношение улучшается в корень из н раз.</w:t>
      </w:r>
      <w:r w:rsidRPr="00D946EF">
        <w:rPr>
          <w:sz w:val="28"/>
          <w:szCs w:val="28"/>
        </w:rPr>
        <w:t xml:space="preserve"> После выполнения</w:t>
      </w:r>
      <w:r>
        <w:rPr>
          <w:sz w:val="28"/>
          <w:szCs w:val="28"/>
        </w:rPr>
        <w:t xml:space="preserve"> </w:t>
      </w:r>
      <w:r w:rsidRPr="00D946EF">
        <w:rPr>
          <w:sz w:val="28"/>
          <w:szCs w:val="28"/>
        </w:rPr>
        <w:t>достаточного числа повторений мы получаем в свое распоряжение данные, содержащие информацию обо всех частотах в спектре ЯМР, однако в</w:t>
      </w:r>
      <w:r>
        <w:rPr>
          <w:sz w:val="28"/>
          <w:szCs w:val="28"/>
        </w:rPr>
        <w:t xml:space="preserve"> </w:t>
      </w:r>
      <w:r w:rsidRPr="00D946EF">
        <w:rPr>
          <w:sz w:val="28"/>
          <w:szCs w:val="28"/>
        </w:rPr>
        <w:t>непривычной для нас форме.</w:t>
      </w:r>
      <w:r>
        <w:rPr>
          <w:sz w:val="28"/>
          <w:szCs w:val="28"/>
        </w:rPr>
        <w:t xml:space="preserve"> Это временное представление спектра. Для перехода к </w:t>
      </w:r>
      <w:proofErr w:type="gramStart"/>
      <w:r>
        <w:rPr>
          <w:sz w:val="28"/>
          <w:szCs w:val="28"/>
        </w:rPr>
        <w:t>привычной форме</w:t>
      </w:r>
      <w:proofErr w:type="gramEnd"/>
      <w:r>
        <w:rPr>
          <w:sz w:val="28"/>
          <w:szCs w:val="28"/>
        </w:rPr>
        <w:t xml:space="preserve"> или к частотному представлению спектра необходимо провести Фурье-преобразование. ФИД фиксируется время порядка 1с. У нас 1.35с.</w:t>
      </w:r>
    </w:p>
    <w:p w:rsidR="00AA4C9E" w:rsidRPr="00D946EF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накопления </w:t>
      </w:r>
      <w:r w:rsidRPr="00D1577C">
        <w:rPr>
          <w:sz w:val="28"/>
          <w:szCs w:val="28"/>
        </w:rPr>
        <w:t>AQ</w:t>
      </w:r>
      <w:r w:rsidRPr="00D946EF">
        <w:rPr>
          <w:sz w:val="28"/>
          <w:szCs w:val="28"/>
        </w:rPr>
        <w:t xml:space="preserve"> = 1.35 </w:t>
      </w:r>
      <w:r>
        <w:rPr>
          <w:sz w:val="28"/>
          <w:szCs w:val="28"/>
        </w:rPr>
        <w:t xml:space="preserve">определяет разрешение спектра. А </w:t>
      </w:r>
      <w:proofErr w:type="gramStart"/>
      <w:r>
        <w:rPr>
          <w:sz w:val="28"/>
          <w:szCs w:val="28"/>
        </w:rPr>
        <w:t>частота</w:t>
      </w:r>
      <w:proofErr w:type="gramEnd"/>
      <w:r>
        <w:rPr>
          <w:sz w:val="28"/>
          <w:szCs w:val="28"/>
        </w:rPr>
        <w:t xml:space="preserve"> с которой выбираются точки в </w:t>
      </w:r>
      <w:proofErr w:type="spellStart"/>
      <w:r>
        <w:rPr>
          <w:sz w:val="28"/>
          <w:szCs w:val="28"/>
        </w:rPr>
        <w:t>ФИДе</w:t>
      </w:r>
      <w:proofErr w:type="spellEnd"/>
      <w:r>
        <w:rPr>
          <w:sz w:val="28"/>
          <w:szCs w:val="28"/>
        </w:rPr>
        <w:t xml:space="preserve"> при его оцифровке определяют ширину спектра. До преобразования с </w:t>
      </w:r>
      <w:proofErr w:type="spellStart"/>
      <w:r>
        <w:rPr>
          <w:sz w:val="28"/>
          <w:szCs w:val="28"/>
        </w:rPr>
        <w:t>ФИДом</w:t>
      </w:r>
      <w:proofErr w:type="spellEnd"/>
      <w:r>
        <w:rPr>
          <w:sz w:val="28"/>
          <w:szCs w:val="28"/>
        </w:rPr>
        <w:t xml:space="preserve"> можно сделать необходимые </w:t>
      </w:r>
      <w:r>
        <w:rPr>
          <w:sz w:val="28"/>
          <w:szCs w:val="28"/>
        </w:rPr>
        <w:lastRenderedPageBreak/>
        <w:t>операции, например экспоненциальное умножение для улучшения соотношения сигнал-шум.</w:t>
      </w:r>
    </w:p>
    <w:p w:rsidR="00AA4C9E" w:rsidRPr="00D946EF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47085" cy="353695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A4C9E" w:rsidRPr="00D946EF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03905" cy="3666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C9E" w:rsidRPr="006F6428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преимущество импульсной ЯМР-спектроскопии заключается в том, что мы можем давать не один импульс, а целые последовательности импульсов через заданные интервалы. Такие эксперименты дают интересные </w:t>
      </w:r>
      <w:r>
        <w:rPr>
          <w:sz w:val="28"/>
          <w:szCs w:val="28"/>
        </w:rPr>
        <w:lastRenderedPageBreak/>
        <w:t>результаты. В частности, на этом принципе основано получение двумерных спектров.</w:t>
      </w:r>
    </w:p>
    <w:p w:rsidR="00AA4C9E" w:rsidRPr="00D1577C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Шимовые</w:t>
      </w:r>
      <w:proofErr w:type="spellEnd"/>
      <w:r>
        <w:rPr>
          <w:sz w:val="28"/>
          <w:szCs w:val="28"/>
        </w:rPr>
        <w:t xml:space="preserve"> катушки служат для настройки однородности магнитного поля в спектрометре. В принципе </w:t>
      </w:r>
      <w:proofErr w:type="spellStart"/>
      <w:r>
        <w:rPr>
          <w:sz w:val="28"/>
          <w:szCs w:val="28"/>
        </w:rPr>
        <w:t>шиммы</w:t>
      </w:r>
      <w:proofErr w:type="spellEnd"/>
      <w:r>
        <w:rPr>
          <w:sz w:val="28"/>
          <w:szCs w:val="28"/>
        </w:rPr>
        <w:t xml:space="preserve"> нужно настраивать по </w:t>
      </w:r>
      <w:proofErr w:type="spellStart"/>
      <w:r>
        <w:rPr>
          <w:sz w:val="28"/>
          <w:szCs w:val="28"/>
        </w:rPr>
        <w:t>ФИДу</w:t>
      </w:r>
      <w:proofErr w:type="spellEnd"/>
      <w:r>
        <w:rPr>
          <w:sz w:val="28"/>
          <w:szCs w:val="28"/>
        </w:rPr>
        <w:t xml:space="preserve"> – стараться получить как можно более длинный </w:t>
      </w:r>
      <w:proofErr w:type="spellStart"/>
      <w:r>
        <w:rPr>
          <w:sz w:val="28"/>
          <w:szCs w:val="28"/>
        </w:rPr>
        <w:t>фид</w:t>
      </w:r>
      <w:proofErr w:type="spellEnd"/>
      <w:r>
        <w:rPr>
          <w:sz w:val="28"/>
          <w:szCs w:val="28"/>
        </w:rPr>
        <w:t xml:space="preserve"> след. Можно взять больше </w:t>
      </w:r>
      <w:r w:rsidRPr="00D1577C">
        <w:rPr>
          <w:sz w:val="28"/>
          <w:szCs w:val="28"/>
        </w:rPr>
        <w:t>AQ</w:t>
      </w:r>
      <w:r>
        <w:rPr>
          <w:sz w:val="28"/>
          <w:szCs w:val="28"/>
        </w:rPr>
        <w:t xml:space="preserve">. И добиться лучшего разрешения. Именно поэтому настройку </w:t>
      </w:r>
      <w:proofErr w:type="spellStart"/>
      <w:r>
        <w:rPr>
          <w:sz w:val="28"/>
          <w:szCs w:val="28"/>
        </w:rPr>
        <w:t>шиммов</w:t>
      </w:r>
      <w:proofErr w:type="spellEnd"/>
      <w:r>
        <w:rPr>
          <w:sz w:val="28"/>
          <w:szCs w:val="28"/>
        </w:rPr>
        <w:t xml:space="preserve"> часто называют настройкой разрешения. Однако на практике </w:t>
      </w:r>
      <w:proofErr w:type="spellStart"/>
      <w:r>
        <w:rPr>
          <w:sz w:val="28"/>
          <w:szCs w:val="28"/>
        </w:rPr>
        <w:t>шиммы</w:t>
      </w:r>
      <w:proofErr w:type="spellEnd"/>
      <w:r>
        <w:rPr>
          <w:sz w:val="28"/>
          <w:szCs w:val="28"/>
        </w:rPr>
        <w:t xml:space="preserve"> настраивают </w:t>
      </w:r>
      <w:r w:rsidRPr="000353B3">
        <w:rPr>
          <w:sz w:val="28"/>
          <w:szCs w:val="28"/>
        </w:rPr>
        <w:t xml:space="preserve">по сигналу дейтерия в растворителе. </w:t>
      </w:r>
      <w:r w:rsidRPr="00D1577C">
        <w:rPr>
          <w:sz w:val="28"/>
          <w:szCs w:val="28"/>
        </w:rPr>
        <w:t xml:space="preserve">Амплитуда сигнала </w:t>
      </w:r>
      <w:proofErr w:type="spellStart"/>
      <w:r w:rsidRPr="00D1577C">
        <w:rPr>
          <w:sz w:val="28"/>
          <w:szCs w:val="28"/>
        </w:rPr>
        <w:t>лока</w:t>
      </w:r>
      <w:proofErr w:type="spellEnd"/>
      <w:r w:rsidRPr="00D1577C">
        <w:rPr>
          <w:sz w:val="28"/>
          <w:szCs w:val="28"/>
        </w:rPr>
        <w:t xml:space="preserve"> зависит от нескольких факторов и в том числе от однородности поля. Поэтому ее можно использовать в качестве критерия при </w:t>
      </w:r>
      <w:proofErr w:type="spellStart"/>
      <w:r w:rsidRPr="00D1577C">
        <w:rPr>
          <w:sz w:val="28"/>
          <w:szCs w:val="28"/>
        </w:rPr>
        <w:t>шиммировании</w:t>
      </w:r>
      <w:proofErr w:type="spellEnd"/>
      <w:r w:rsidRPr="00D1577C">
        <w:rPr>
          <w:sz w:val="28"/>
          <w:szCs w:val="28"/>
        </w:rPr>
        <w:t xml:space="preserve">. Изменением </w:t>
      </w:r>
      <w:proofErr w:type="gramStart"/>
      <w:r w:rsidRPr="00D1577C">
        <w:rPr>
          <w:sz w:val="28"/>
          <w:szCs w:val="28"/>
        </w:rPr>
        <w:t>тока, проходящего через соответствующие катушки добиваются</w:t>
      </w:r>
      <w:proofErr w:type="gramEnd"/>
      <w:r w:rsidRPr="00D1577C">
        <w:rPr>
          <w:sz w:val="28"/>
          <w:szCs w:val="28"/>
        </w:rPr>
        <w:t xml:space="preserve"> максимальной амплитуды сигнала </w:t>
      </w:r>
      <w:proofErr w:type="spellStart"/>
      <w:r w:rsidRPr="00D1577C">
        <w:rPr>
          <w:sz w:val="28"/>
          <w:szCs w:val="28"/>
        </w:rPr>
        <w:t>лока</w:t>
      </w:r>
      <w:proofErr w:type="spellEnd"/>
      <w:r w:rsidRPr="00D1577C">
        <w:rPr>
          <w:sz w:val="28"/>
          <w:szCs w:val="28"/>
        </w:rPr>
        <w:t xml:space="preserve">. При первоначальной настройке настраиваются все </w:t>
      </w:r>
      <w:proofErr w:type="spellStart"/>
      <w:r w:rsidRPr="00D1577C">
        <w:rPr>
          <w:sz w:val="28"/>
          <w:szCs w:val="28"/>
        </w:rPr>
        <w:t>шиммы</w:t>
      </w:r>
      <w:proofErr w:type="spellEnd"/>
      <w:r w:rsidRPr="00D1577C">
        <w:rPr>
          <w:sz w:val="28"/>
          <w:szCs w:val="28"/>
        </w:rPr>
        <w:t>. Затем, при переходе от образца к образцу только Z и Z2.</w:t>
      </w:r>
    </w:p>
    <w:p w:rsidR="00AA4C9E" w:rsidRPr="00D1577C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</w:p>
    <w:p w:rsidR="00AA4C9E" w:rsidRPr="000353B3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</w:p>
    <w:p w:rsidR="00AA4C9E" w:rsidRPr="006972FE" w:rsidRDefault="00AA4C9E" w:rsidP="00AA4C9E">
      <w:pPr>
        <w:shd w:val="clear" w:color="auto" w:fill="FFFFFF"/>
        <w:spacing w:before="182" w:line="360" w:lineRule="auto"/>
        <w:ind w:left="11"/>
        <w:jc w:val="both"/>
        <w:rPr>
          <w:sz w:val="28"/>
          <w:szCs w:val="28"/>
        </w:rPr>
      </w:pPr>
      <w:r w:rsidRPr="000353B3">
        <w:rPr>
          <w:sz w:val="28"/>
          <w:szCs w:val="28"/>
        </w:rPr>
        <w:t xml:space="preserve">На магнитное экранирование протона влияет множество факторов, в </w:t>
      </w:r>
      <w:proofErr w:type="gramStart"/>
      <w:r w:rsidRPr="000353B3">
        <w:rPr>
          <w:sz w:val="28"/>
          <w:szCs w:val="28"/>
        </w:rPr>
        <w:t>связи</w:t>
      </w:r>
      <w:proofErr w:type="gramEnd"/>
      <w:r w:rsidRPr="000353B3">
        <w:rPr>
          <w:sz w:val="28"/>
          <w:szCs w:val="28"/>
        </w:rPr>
        <w:t xml:space="preserve"> с</w:t>
      </w:r>
      <w:r w:rsidRPr="008C0C52">
        <w:rPr>
          <w:sz w:val="28"/>
          <w:szCs w:val="28"/>
        </w:rPr>
        <w:t xml:space="preserve"> чем зависимость между положением ядра в молекуле и соответствующим химическим сдвигом носит эмпирический характер. Основным из таких факторов является электронная плотность вокруг данного протона. Чем выше эта плотность, тем больше ее влияние на внешнее поле и, следовательно, тем в более сильном поле проявится резонансный сигнал. Влияние этого фактора соответствует тому, что протон, обладающий более кислыми свойствами (с меньшей плотностью электронной оболочки) резонирует в более слабом поле. На электронную плотность вблизи ядра существенно влияет индукционный эффект заместителя и присутствие соседних непредельных группировок, так как в последнем случае благодаря эффекту сопряжения электроны связи С—Н смещаются на соседнюю связь С—С. </w:t>
      </w:r>
      <w:r w:rsidRPr="00D1577C">
        <w:rPr>
          <w:sz w:val="28"/>
          <w:szCs w:val="28"/>
        </w:rPr>
        <w:t xml:space="preserve">Таким образом, по величине химического сдвига может быть определено положение протона </w:t>
      </w:r>
      <w:r w:rsidRPr="00D1577C">
        <w:rPr>
          <w:sz w:val="28"/>
          <w:szCs w:val="28"/>
        </w:rPr>
        <w:lastRenderedPageBreak/>
        <w:t>в органической молекуле. Однако сигналы от протонов, незначительно отличающиеся по химическому сдвигу, могут перекрываться полностью или частично. Так, незначительно различающиеся по положению метиленовые группы в ациклических цепях или циклических системах часто сливаются в один широкий сложный сигнал.</w:t>
      </w:r>
    </w:p>
    <w:p w:rsidR="005D3E99" w:rsidRDefault="005D3E99">
      <w:bookmarkStart w:id="0" w:name="_GoBack"/>
      <w:bookmarkEnd w:id="0"/>
    </w:p>
    <w:sectPr w:rsidR="005D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9E"/>
    <w:rsid w:val="005D3E99"/>
    <w:rsid w:val="00AA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2012-10-24T04:06:00Z</dcterms:created>
  <dcterms:modified xsi:type="dcterms:W3CDTF">2012-10-24T04:06:00Z</dcterms:modified>
</cp:coreProperties>
</file>