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Электродные потенциалы. Уравнение Нернста.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-восстановительной реакции на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только формальным приёмом, но имеет вполне определённый физический смысл. Компоненты каждой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поместить в разные сосуды и соединить их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солевым мостиком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(стеклянной трубкой, заполненной насыщенным раствором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Если теперь в каждый сосуд опустить инертные электроды (например, платиновые проволочки или пластинки) и замкнуть их на гальванометр или подключить к потенциометру, то прибор покажет наличие тока (рис.3.1). Через некоторое время в сосуде с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обнаружить ионы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 реакции (3.19).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40"/>
      </w:tblGrid>
      <w:tr w:rsidR="004E5949" w:rsidRPr="004E5949" w:rsidTr="00826719">
        <w:trPr>
          <w:trHeight w:val="3566"/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1ECC6" wp14:editId="45D55FBD">
                  <wp:extent cx="2962275" cy="2276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49" w:rsidRPr="004E5949" w:rsidTr="00826719">
        <w:trPr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Рис. 3.1. </w:t>
            </w:r>
            <w:r w:rsidRPr="004E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гальванического элемента:</w:t>
            </w:r>
          </w:p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платиновые электроды; </w:t>
            </w:r>
            <w:r w:rsidRPr="004E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электролитический мостик; </w:t>
            </w:r>
            <w:r w:rsidRPr="004E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потенциометр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Устройство, изображённое на рис. 3.1, называют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гальваническим элементом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каждый из сосудов, содержащий раствор и платиновую или другую пластину, - электродом или 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полуэлементом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собственно «электродом» обычно называют платиновую или другую пластину, служащую проводником электронов. Электродвижущая сила (ЭДС) гальванического элемента может быть измерена с помощью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потенциометра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непосредственно характеризует способность электронов данного восстановителя переходить к данному окислителю. ЭДС является разностью потенциалов двух электродов: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00"/>
        <w:gridCol w:w="1080"/>
      </w:tblGrid>
      <w:tr w:rsidR="004E5949" w:rsidRPr="004E5949" w:rsidTr="00826719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ЭДС = 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proofErr w:type="gramStart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потенциал окислителя;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потенциал восстановителя.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электрод или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полуэлемент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из окисленной и восстановленной форм данного вещества (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-систему).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систему называют также 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окислительно</w:t>
      </w:r>
      <w:proofErr w:type="spellEnd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-восстановительной 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-парой. 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Примерами 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 являются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MnO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Термин «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произошёл в результате сочетания латинских слов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ductio</w:t>
      </w:r>
      <w:proofErr w:type="spellEnd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(восстановления) и 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oxydatio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(окисление).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Абсолютный потенциал отельной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-восстановительной пары измерить невозможно. Однако относительные характеристики пар (потенциалы электродов или электродные потенциалы) можно легко получить, если каждый электрод комбинировать с одним и тем же электродом, условно выбранным за стандарт. В качестве такого электрода по международному соглашению выбран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стандартный водородный электрод. 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электрод из платинированной платины, омываемый газообразным водородом при давлении в 1,013 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(1 </w:t>
      </w:r>
      <w:proofErr w:type="spellStart"/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погружённый в раствор кислоты с активностью ионов водорода равной единице. Платинированная платина поглощает газообразный водород, и электрод действует так, как будто он состоит из газообразного водорода, находящегося в равновесии с ионами Н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растворе: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rPr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(г) = 2Н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стандартного водородного электрода принят равным нулю при всех температурах. Следовательно, если в уравнении (3.25) принять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то получим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rPr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ЭДС = </w:t>
            </w:r>
            <w:r w:rsidRPr="004E59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proofErr w:type="gramStart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c>
          <w:tcPr>
            <w:tcW w:w="8280" w:type="dxa"/>
            <w:tcBorders>
              <w:top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</w:pPr>
            <w:proofErr w:type="gramStart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>Потенциал данного электрода – это ЭДС элемента, состоящего из данного и стандартного водородного электродов.</w:t>
            </w:r>
            <w:proofErr w:type="gramEnd"/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на данном электроде происходит восстановление М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gram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М, т. е. в системе протекает процесс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rPr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+ 1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М + Н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электрод считается положительным. В противном случае (М = 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электрод отрицателен (М + Н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+ 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+ 1/2Н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). Ясно, что растворяться в кислотах с выделением газообразного могут лишь элементы с отрицательным потенциалом (чаще всего металлы).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Зависимость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-восстановительного потенциала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концентрации участников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-процесса и температуры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передаётся уравнением Нернста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200"/>
        <w:gridCol w:w="1080"/>
      </w:tblGrid>
      <w:tr w:rsidR="004E5949" w:rsidRPr="004E5949" w:rsidTr="00826719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21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3pt;height:35.3pt" o:ole="">
                  <v:imagedata r:id="rId8" o:title=""/>
                </v:shape>
                <o:OLEObject Type="Embed" ProgID="Equation.3" ShapeID="_x0000_i1025" DrawAspect="Content" ObjectID="_1412353087" r:id="rId9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стандартный 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окислительно</w:t>
      </w:r>
      <w:proofErr w:type="spellEnd"/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-восстановительный потенциал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универсальная газовая постоянная, равная (система СИ) 8,312 Дж/(моль</w:t>
      </w:r>
      <w:proofErr w:type="gramStart"/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gramEnd"/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К);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абсолютная температура;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Фарадея, равное 96 485 Кл;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электронов, принимающих участие в электродном процессе; </w:t>
      </w:r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E59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ox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94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4E59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red</w:t>
      </w:r>
      <w:proofErr w:type="spellEnd"/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активности соответственно окисленной и восстановленной форм вещества</w:t>
      </w:r>
      <w:r w:rsidRPr="004E59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949" w:rsidRPr="004E5949" w:rsidRDefault="004E5949" w:rsidP="004E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участники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стандартном состоянии (при активности равной единице) т. е. растворённые вещества находятся в гипотетическом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одномолярном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растворе, в котором их коэффициенты активности равны единице, а чистые вещества в наиболее устойчивом физическом состоянии при данной температуре и нормальном атмосферном давлении, то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200"/>
        <w:gridCol w:w="1080"/>
      </w:tblGrid>
      <w:tr w:rsidR="004E5949" w:rsidRPr="004E5949" w:rsidTr="00826719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3019" w:dyaOrig="700">
                <v:shape id="_x0000_i1026" type="#_x0000_t75" style="width:149.45pt;height:35.3pt" o:ole="">
                  <v:imagedata r:id="rId10" o:title=""/>
                </v:shape>
                <o:OLEObject Type="Embed" ProgID="Equation.3" ShapeID="_x0000_i1026" DrawAspect="Content" ObjectID="_1412353088" r:id="rId11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соотношения (3.26) следует, что при этих условиях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уравнении (3.26) учтена связь активности и концентрации: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200"/>
        <w:gridCol w:w="1080"/>
      </w:tblGrid>
      <w:tr w:rsidR="004E5949" w:rsidRPr="004E5949" w:rsidTr="00826719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 = </w:t>
            </w:r>
            <w:proofErr w:type="spellStart"/>
            <w:r w:rsidRPr="004E59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γс</w:t>
            </w:r>
            <w:proofErr w:type="spellEnd"/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γ – коэффициент активности.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949" w:rsidRPr="004E5949" w:rsidRDefault="004E5949" w:rsidP="004E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</w:pPr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 xml:space="preserve">Стандартным </w:t>
            </w:r>
            <w:proofErr w:type="spellStart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 xml:space="preserve">-восстановительным потенциалом называется потенциал системы, в которой все участники </w:t>
            </w:r>
            <w:proofErr w:type="spellStart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>полуреакции</w:t>
            </w:r>
            <w:proofErr w:type="spellEnd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 xml:space="preserve"> находятся в стандартном состоянии, а растворённые вещества – в стандартном растворе.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Влияние кислотности среды на величину электродного потенциала.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уравнение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Н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ионы или какие-либо другие, то их активности также следует включить в уравнение Нернста. Например, потенциал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-пары окислителя в реакции (3.21) вычисляется по уравнению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380"/>
        <w:gridCol w:w="900"/>
      </w:tblGrid>
      <w:tr w:rsidR="004E5949" w:rsidRPr="004E5949" w:rsidTr="00826719">
        <w:trPr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eastAsia="ru-RU"/>
              </w:rPr>
              <w:object w:dxaOrig="6380" w:dyaOrig="940">
                <v:shape id="_x0000_i1027" type="#_x0000_t75" style="width:315.85pt;height:47.55pt" o:ole="">
                  <v:imagedata r:id="rId12" o:title=""/>
                </v:shape>
                <o:OLEObject Type="Embed" ProgID="Equation.3" ShapeID="_x0000_i1027" DrawAspect="Content" ObjectID="_1412353089" r:id="rId13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(3.2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Здесь также использовано соотношение (3.27). Равенство </w:t>
      </w:r>
      <w:r w:rsidRPr="004E59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760" w:dyaOrig="560">
          <v:shape id="_x0000_i1028" type="#_x0000_t75" style="width:137.9pt;height:27.85pt" o:ole="">
            <v:imagedata r:id="rId14" o:title=""/>
          </v:shape>
          <o:OLEObject Type="Embed" ProgID="Equation.3" ShapeID="_x0000_i1028" DrawAspect="Content" ObjectID="_1412353090" r:id="rId15"/>
        </w:objec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когда [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] = 1, [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] = 1 и  [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] =  =1моль/л и коэффициенты активности всех частиц равны единице.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подстановке числовых значений констант в уравнение (3.26) и переходе к десятичным логарифмам и температуре 25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получаем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380"/>
        <w:gridCol w:w="900"/>
      </w:tblGrid>
      <w:tr w:rsidR="004E5949" w:rsidRPr="004E5949" w:rsidTr="00826719">
        <w:trPr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en-US" w:eastAsia="ru-RU"/>
              </w:rPr>
              <w:object w:dxaOrig="5000" w:dyaOrig="700">
                <v:shape id="_x0000_i1029" type="#_x0000_t75" style="width:248.6pt;height:35.3pt" o:ole="">
                  <v:imagedata r:id="rId16" o:title=""/>
                </v:shape>
                <o:OLEObject Type="Embed" ProgID="Equation.3" ShapeID="_x0000_i1029" DrawAspect="Content" ObjectID="_1412353091" r:id="rId17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(3.29)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900"/>
      </w:tblGrid>
      <w:tr w:rsidR="004E5949" w:rsidRPr="004E5949" w:rsidTr="00826719">
        <w:trPr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4060" w:dyaOrig="700">
                <v:shape id="_x0000_i1030" type="#_x0000_t75" style="width:203.1pt;height:35.3pt" o:ole="">
                  <v:imagedata r:id="rId18" o:title=""/>
                </v:shape>
                <o:OLEObject Type="Embed" ProgID="Equation.3" ShapeID="_x0000_i1030" DrawAspect="Content" ObjectID="_1412353092" r:id="rId19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(3.3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Уравнение (3.3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переписать: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rPr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580" w:dyaOrig="660">
                <v:shape id="_x0000_i1031" type="#_x0000_t75" style="width:129.05pt;height:33.3pt" o:ole="">
                  <v:imagedata r:id="rId20" o:title=""/>
                </v:shape>
                <o:OLEObject Type="Embed" ProgID="Equation.3" ShapeID="_x0000_i1031" DrawAspect="Content" ObjectID="_1412353093" r:id="rId21"/>
              </w:objec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380"/>
        <w:gridCol w:w="900"/>
      </w:tblGrid>
      <w:tr w:rsidR="004E5949" w:rsidRPr="004E5949" w:rsidTr="00826719">
        <w:trPr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2540" w:dyaOrig="700">
                <v:shape id="_x0000_i1032" type="#_x0000_t75" style="width:125.65pt;height:35.3pt" o:ole="">
                  <v:imagedata r:id="rId22" o:title=""/>
                </v:shape>
                <o:OLEObject Type="Embed" ProgID="Equation.3" ShapeID="_x0000_i1032" DrawAspect="Content" ObjectID="_1412353094" r:id="rId23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(3.3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E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Величину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0</w:t>
      </w:r>
      <w:proofErr w:type="gramEnd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’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формальным потенциалом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видно,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= Е</w:t>
      </w:r>
      <w:proofErr w:type="gram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0</w:t>
      </w:r>
      <w:proofErr w:type="gramEnd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’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[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] = 1,0 и [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] = 1,0.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left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E5949" w:rsidRPr="004E5949" w:rsidTr="00826719">
        <w:tc>
          <w:tcPr>
            <w:tcW w:w="8280" w:type="dxa"/>
            <w:tcBorders>
              <w:top w:val="nil"/>
              <w:bottom w:val="nil"/>
              <w:right w:val="nil"/>
            </w:tcBorders>
          </w:tcPr>
          <w:p w:rsidR="004E5949" w:rsidRPr="004E5949" w:rsidRDefault="004E5949" w:rsidP="004E5949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</w:pPr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>Формальный потенциал характеризует систему, в которой концентрации всех участников (а не активности) равны 1,0 моль/</w:t>
            </w:r>
            <w:proofErr w:type="gramStart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>л</w:t>
            </w:r>
            <w:proofErr w:type="gramEnd"/>
            <w:r w:rsidRPr="004E5949">
              <w:rPr>
                <w:rFonts w:ascii="Verdana" w:eastAsia="Times New Roman" w:hAnsi="Verdana" w:cs="Verdana"/>
                <w:sz w:val="28"/>
                <w:szCs w:val="28"/>
                <w:lang w:eastAsia="ru-RU"/>
              </w:rPr>
              <w:t>.</w:t>
            </w:r>
          </w:p>
        </w:tc>
      </w:tr>
    </w:tbl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(3.31) показывает, что формальный потенциал зависит от коэффициента активности, т. е. от ионной силы раствора. Если эффектом ионной силы пренебречь, 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Start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0</w:t>
      </w:r>
      <w:proofErr w:type="gramEnd"/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’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Е</w:t>
      </w:r>
      <w:r w:rsidRPr="004E59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0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формальный потенциал совпадает со стандартным. Для многих химико-аналитических задач точность такого приближения оказывается вполне достаточной.</w:t>
      </w:r>
    </w:p>
    <w:p w:rsidR="004E5949" w:rsidRPr="004E5949" w:rsidRDefault="004E5949" w:rsidP="004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Стандартный потенциал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-системы является объективной характеристикой «силы» данного окислителя или восстановителя. Чем больше положительное значение потенциала, тем более сильным является окислитель. Например, стандартный потенциал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-пар, образованных системой галоген/галогенид (Х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уменьшается от 2,87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 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1,36 В у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1,07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0,54 В у 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4E5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5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сильным окислителем в этом ряду, как известно, является фтор, и </w:t>
      </w:r>
      <w:r w:rsidRPr="004E5949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900" w:dyaOrig="499">
          <v:shape id="_x0000_i1033" type="#_x0000_t75" style="width:44.85pt;height:24.45pt" o:ole="">
            <v:imagedata r:id="rId24" o:title=""/>
          </v:shape>
          <o:OLEObject Type="Embed" ProgID="Equation.3" ShapeID="_x0000_i1033" DrawAspect="Content" ObjectID="_1412353095" r:id="rId25"/>
        </w:objec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2,87 В является объективной характеристикой этой силы. Стандартный потенциал </w:t>
      </w:r>
      <w:proofErr w:type="spell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49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820" w:dyaOrig="499">
          <v:shape id="_x0000_i1034" type="#_x0000_t75" style="width:41.45pt;height:24.45pt" o:ole="">
            <v:imagedata r:id="rId26" o:title=""/>
          </v:shape>
          <o:OLEObject Type="Embed" ProgID="Equation.3" ShapeID="_x0000_i1034" DrawAspect="Content" ObjectID="_1412353096" r:id="rId27"/>
        </w:object>
      </w:r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>= 0,57</w:t>
      </w:r>
      <w:proofErr w:type="gramStart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E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это наименее сильный окислитель среди галогенов.</w:t>
      </w:r>
    </w:p>
    <w:p w:rsidR="000171B6" w:rsidRDefault="000171B6"/>
    <w:sectPr w:rsidR="0001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49" w:rsidRDefault="004E5949" w:rsidP="004E5949">
      <w:pPr>
        <w:spacing w:after="0" w:line="240" w:lineRule="auto"/>
      </w:pPr>
      <w:r>
        <w:separator/>
      </w:r>
    </w:p>
  </w:endnote>
  <w:endnote w:type="continuationSeparator" w:id="0">
    <w:p w:rsidR="004E5949" w:rsidRDefault="004E5949" w:rsidP="004E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49" w:rsidRDefault="004E5949" w:rsidP="004E5949">
      <w:pPr>
        <w:spacing w:after="0" w:line="240" w:lineRule="auto"/>
      </w:pPr>
      <w:r>
        <w:separator/>
      </w:r>
    </w:p>
  </w:footnote>
  <w:footnote w:type="continuationSeparator" w:id="0">
    <w:p w:rsidR="004E5949" w:rsidRDefault="004E5949" w:rsidP="004E5949">
      <w:pPr>
        <w:spacing w:after="0" w:line="240" w:lineRule="auto"/>
      </w:pPr>
      <w:r>
        <w:continuationSeparator/>
      </w:r>
    </w:p>
  </w:footnote>
  <w:footnote w:id="1">
    <w:p w:rsidR="004E5949" w:rsidRDefault="004E5949" w:rsidP="004E5949">
      <w:pPr>
        <w:pStyle w:val="a3"/>
        <w:rPr>
          <w:rFonts w:cs="Times New Roman"/>
        </w:rPr>
      </w:pPr>
      <w:r>
        <w:rPr>
          <w:rStyle w:val="a5"/>
        </w:rPr>
        <w:t>*</w:t>
      </w:r>
      <w:r>
        <w:rPr>
          <w:rFonts w:cs="Times New Roman"/>
        </w:rPr>
        <w:t xml:space="preserve"> Строго говоря, </w:t>
      </w:r>
      <w:proofErr w:type="gramStart"/>
      <w:r>
        <w:rPr>
          <w:rFonts w:cs="Times New Roman"/>
          <w:i/>
          <w:iCs/>
        </w:rPr>
        <w:t>а</w:t>
      </w:r>
      <w:proofErr w:type="gramEnd"/>
      <w:r>
        <w:rPr>
          <w:rFonts w:cs="Times New Roman"/>
          <w:i/>
          <w:iCs/>
          <w:vertAlign w:val="subscript"/>
          <w:lang w:val="en-US"/>
        </w:rPr>
        <w:t>ox</w:t>
      </w:r>
      <w:r>
        <w:rPr>
          <w:rFonts w:cs="Times New Roman"/>
        </w:rPr>
        <w:t xml:space="preserve"> и  </w:t>
      </w:r>
      <w:proofErr w:type="spellStart"/>
      <w:r>
        <w:rPr>
          <w:rFonts w:cs="Times New Roman"/>
          <w:i/>
          <w:iCs/>
          <w:lang w:val="en-US"/>
        </w:rPr>
        <w:t>a</w:t>
      </w:r>
      <w:r>
        <w:rPr>
          <w:rFonts w:cs="Times New Roman"/>
          <w:i/>
          <w:iCs/>
          <w:vertAlign w:val="subscript"/>
          <w:lang w:val="en-US"/>
        </w:rPr>
        <w:t>red</w:t>
      </w:r>
      <w:proofErr w:type="spellEnd"/>
      <w:r>
        <w:rPr>
          <w:rFonts w:cs="Times New Roman"/>
        </w:rPr>
        <w:t xml:space="preserve"> должны быть возведены в степень, равную стехиометрическому коэффициенту этих веществ в уравнении </w:t>
      </w:r>
      <w:proofErr w:type="spellStart"/>
      <w:r>
        <w:rPr>
          <w:rFonts w:cs="Times New Roman"/>
        </w:rPr>
        <w:t>полуреакций</w:t>
      </w:r>
      <w:proofErr w:type="spellEnd"/>
      <w:r>
        <w:rPr>
          <w:rFonts w:cs="Times New Roman"/>
        </w:rPr>
        <w:t xml:space="preserve">. Однако у большинства химико-аналитических </w:t>
      </w:r>
      <w:proofErr w:type="spellStart"/>
      <w:r>
        <w:rPr>
          <w:rFonts w:cs="Times New Roman"/>
        </w:rPr>
        <w:t>полуреакций</w:t>
      </w:r>
      <w:proofErr w:type="spellEnd"/>
      <w:r>
        <w:rPr>
          <w:rFonts w:cs="Times New Roman"/>
        </w:rPr>
        <w:t xml:space="preserve"> ст</w:t>
      </w:r>
      <w:r>
        <w:rPr>
          <w:rFonts w:cs="Times New Roman"/>
        </w:rPr>
        <w:t>е</w:t>
      </w:r>
      <w:r>
        <w:rPr>
          <w:rFonts w:cs="Times New Roman"/>
        </w:rPr>
        <w:t xml:space="preserve">хиометрические коэффициенты равны единице и только в некоторых отдельных случаях, таких как </w:t>
      </w:r>
      <w:r>
        <w:rPr>
          <w:rFonts w:cs="Times New Roman"/>
          <w:lang w:val="en-US"/>
        </w:rPr>
        <w:t>Cr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vertAlign w:val="subscript"/>
        </w:rPr>
        <w:t>2</w:t>
      </w:r>
      <w:r>
        <w:rPr>
          <w:rFonts w:cs="Times New Roman"/>
          <w:vertAlign w:val="superscript"/>
        </w:rPr>
        <w:t>2-</w:t>
      </w:r>
      <w:r>
        <w:rPr>
          <w:rFonts w:cs="Times New Roman"/>
        </w:rPr>
        <w:t>/2</w:t>
      </w:r>
      <w:r>
        <w:rPr>
          <w:rFonts w:cs="Times New Roman"/>
          <w:lang w:val="en-US"/>
        </w:rPr>
        <w:t>Cr</w:t>
      </w:r>
      <w:r>
        <w:rPr>
          <w:rFonts w:cs="Times New Roman"/>
          <w:vertAlign w:val="superscript"/>
        </w:rPr>
        <w:t>3+</w:t>
      </w:r>
      <w:r>
        <w:rPr>
          <w:rFonts w:cs="Times New Roman"/>
        </w:rPr>
        <w:t>, эти коэффициенты отличаются от единицы. В таких случаях, разумеется, стехиометрические коэ</w:t>
      </w:r>
      <w:r>
        <w:rPr>
          <w:rFonts w:cs="Times New Roman"/>
        </w:rPr>
        <w:t>ф</w:t>
      </w:r>
      <w:r>
        <w:rPr>
          <w:rFonts w:cs="Times New Roman"/>
        </w:rPr>
        <w:t xml:space="preserve">фициенты должны быть учтены.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9"/>
    <w:rsid w:val="000171B6"/>
    <w:rsid w:val="004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E594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E5949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E5949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E594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E5949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E5949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2012-10-21T15:27:00Z</dcterms:created>
  <dcterms:modified xsi:type="dcterms:W3CDTF">2012-10-21T15:27:00Z</dcterms:modified>
</cp:coreProperties>
</file>