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6C" w:rsidRDefault="00D2506C" w:rsidP="00D250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Кривые титрования смеси кислот и смеси оснований. </w:t>
      </w:r>
      <w:bookmarkStart w:id="0" w:name="_GoBack"/>
      <w:r>
        <w:rPr>
          <w:rFonts w:cs="Times New Roman"/>
          <w:i/>
          <w:iCs/>
          <w:sz w:val="28"/>
          <w:szCs w:val="28"/>
        </w:rPr>
        <w:t>Титрование см</w:t>
      </w:r>
      <w:r>
        <w:rPr>
          <w:rFonts w:cs="Times New Roman"/>
          <w:i/>
          <w:iCs/>
          <w:sz w:val="28"/>
          <w:szCs w:val="28"/>
        </w:rPr>
        <w:t>е</w:t>
      </w:r>
      <w:r>
        <w:rPr>
          <w:rFonts w:cs="Times New Roman"/>
          <w:i/>
          <w:iCs/>
          <w:sz w:val="28"/>
          <w:szCs w:val="28"/>
        </w:rPr>
        <w:t xml:space="preserve">си сильной и слабой кислот. </w:t>
      </w:r>
      <w:bookmarkEnd w:id="0"/>
      <w:r>
        <w:rPr>
          <w:rFonts w:cs="Times New Roman"/>
          <w:sz w:val="28"/>
          <w:szCs w:val="28"/>
        </w:rPr>
        <w:t>Титрование сильной кислоты в присутствии сл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бой и определение обоих компонентов такой </w:t>
      </w:r>
      <w:proofErr w:type="gramStart"/>
      <w:r>
        <w:rPr>
          <w:rFonts w:cs="Times New Roman"/>
          <w:sz w:val="28"/>
          <w:szCs w:val="28"/>
        </w:rPr>
        <w:t>смеси</w:t>
      </w:r>
      <w:proofErr w:type="gramEnd"/>
      <w:r>
        <w:rPr>
          <w:rFonts w:cs="Times New Roman"/>
          <w:sz w:val="28"/>
          <w:szCs w:val="28"/>
        </w:rPr>
        <w:t xml:space="preserve"> возможно, если константа (константы) диссоциации слабой кислоты будет удовлетворять определё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ным условиям. Таким условием, в частности, является неравенство: </w:t>
      </w:r>
      <w:r>
        <w:rPr>
          <w:rFonts w:cs="Times New Roman"/>
          <w:i/>
          <w:iCs/>
          <w:sz w:val="28"/>
          <w:szCs w:val="28"/>
        </w:rPr>
        <w:t>К ≤</w:t>
      </w:r>
      <w:r>
        <w:rPr>
          <w:rFonts w:cs="Times New Roman"/>
          <w:sz w:val="28"/>
          <w:szCs w:val="28"/>
        </w:rPr>
        <w:t xml:space="preserve"> 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-5</w:t>
      </w:r>
      <w:r>
        <w:rPr>
          <w:rFonts w:cs="Times New Roman"/>
          <w:sz w:val="28"/>
          <w:szCs w:val="28"/>
        </w:rPr>
        <w:t>, где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>, очевидно, константа диссоциации слабой кислоты. Вполне понятно, что чем меньше константа диссоциации слабой кислоты и чем больше ко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центрация сильной кислоты, тем более точным будет определение сильной кислоты. Критерий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К</w:t>
      </w:r>
      <w:proofErr w:type="gramEnd"/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≤ 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-5</w:t>
      </w:r>
      <w:r>
        <w:rPr>
          <w:rFonts w:cs="Times New Roman"/>
          <w:sz w:val="28"/>
          <w:szCs w:val="28"/>
        </w:rPr>
        <w:t xml:space="preserve"> показывает, например, что относительна п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грешность определения </w:t>
      </w:r>
      <w:proofErr w:type="spellStart"/>
      <w:r>
        <w:rPr>
          <w:rFonts w:cs="Times New Roman"/>
          <w:sz w:val="28"/>
          <w:szCs w:val="28"/>
        </w:rPr>
        <w:t>хлороводородной</w:t>
      </w:r>
      <w:proofErr w:type="spellEnd"/>
      <w:r>
        <w:rPr>
          <w:rFonts w:cs="Times New Roman"/>
          <w:sz w:val="28"/>
          <w:szCs w:val="28"/>
        </w:rPr>
        <w:t xml:space="preserve"> кислоты в присутствии уксусной (</w:t>
      </w:r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0"/>
          <w:szCs w:val="20"/>
        </w:rPr>
        <w:t>СН</w:t>
      </w:r>
      <w:r>
        <w:rPr>
          <w:rFonts w:cs="Times New Roman"/>
          <w:sz w:val="20"/>
          <w:szCs w:val="20"/>
          <w:vertAlign w:val="subscript"/>
        </w:rPr>
        <w:t>3</w:t>
      </w:r>
      <w:r>
        <w:rPr>
          <w:rFonts w:cs="Times New Roman"/>
          <w:sz w:val="20"/>
          <w:szCs w:val="20"/>
        </w:rPr>
        <w:t>СООН</w:t>
      </w:r>
      <w:r>
        <w:rPr>
          <w:rFonts w:cs="Times New Roman"/>
          <w:sz w:val="28"/>
          <w:szCs w:val="28"/>
        </w:rPr>
        <w:t xml:space="preserve">  = 1,74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-5</w:t>
      </w:r>
      <w:r>
        <w:rPr>
          <w:rFonts w:cs="Times New Roman"/>
          <w:sz w:val="28"/>
          <w:szCs w:val="28"/>
        </w:rPr>
        <w:t>) превысит 1%. В присутствии щавелевой (</w:t>
      </w:r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8"/>
          <w:szCs w:val="28"/>
          <w:vertAlign w:val="subscript"/>
        </w:rPr>
        <w:t>1</w:t>
      </w:r>
      <w:r>
        <w:rPr>
          <w:rFonts w:cs="Times New Roman"/>
          <w:sz w:val="28"/>
          <w:szCs w:val="28"/>
        </w:rPr>
        <w:t xml:space="preserve"> = 5,6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-2</w:t>
      </w:r>
      <w:r>
        <w:rPr>
          <w:rFonts w:cs="Times New Roman"/>
          <w:sz w:val="28"/>
          <w:szCs w:val="28"/>
        </w:rPr>
        <w:t>) или фосфорной (</w:t>
      </w:r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8"/>
          <w:szCs w:val="28"/>
          <w:vertAlign w:val="subscript"/>
        </w:rPr>
        <w:t>1</w:t>
      </w:r>
      <w:r>
        <w:rPr>
          <w:rFonts w:cs="Times New Roman"/>
          <w:sz w:val="28"/>
          <w:szCs w:val="28"/>
        </w:rPr>
        <w:t xml:space="preserve"> = 7,6 </w:t>
      </w:r>
      <w:r>
        <w:rPr>
          <w:rFonts w:cs="Times New Roman"/>
          <w:sz w:val="28"/>
          <w:szCs w:val="28"/>
          <w:vertAlign w:val="superscript"/>
        </w:rPr>
        <w:t xml:space="preserve">. </w:t>
      </w:r>
      <w:r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  <w:vertAlign w:val="superscript"/>
        </w:rPr>
        <w:t>-3</w:t>
      </w:r>
      <w:r>
        <w:rPr>
          <w:rFonts w:cs="Times New Roman"/>
          <w:sz w:val="28"/>
          <w:szCs w:val="28"/>
        </w:rPr>
        <w:t>) кислот относительная погрешность опред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ления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будет ещё больше.</w:t>
      </w:r>
    </w:p>
    <w:p w:rsidR="00D2506C" w:rsidRDefault="00D2506C" w:rsidP="00D250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Кривая титрования смеси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и СН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>СООН представлены на рис. 4.5. На кривой можно видеть два скачка титрования, причём первый скачок,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ответствующий </w:t>
      </w:r>
      <w:proofErr w:type="spellStart"/>
      <w:r>
        <w:rPr>
          <w:rFonts w:cs="Times New Roman"/>
          <w:sz w:val="28"/>
          <w:szCs w:val="28"/>
        </w:rPr>
        <w:t>оттитровыванию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>, невелик.</w:t>
      </w:r>
    </w:p>
    <w:p w:rsidR="00D2506C" w:rsidRDefault="00D2506C" w:rsidP="00D250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Таким образом, смесь </w:t>
      </w:r>
      <w:proofErr w:type="spellStart"/>
      <w:r>
        <w:rPr>
          <w:rFonts w:cs="Times New Roman"/>
          <w:sz w:val="28"/>
          <w:szCs w:val="28"/>
        </w:rPr>
        <w:t>хлороводородной</w:t>
      </w:r>
      <w:proofErr w:type="spellEnd"/>
      <w:r>
        <w:rPr>
          <w:rFonts w:cs="Times New Roman"/>
          <w:sz w:val="28"/>
          <w:szCs w:val="28"/>
        </w:rPr>
        <w:t xml:space="preserve"> и уксусной кислот может быть проанализирована с использованием двух индикаторов: метилового оранж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вого и фенолфталеина.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D2506C" w:rsidTr="00726AF5">
        <w:trPr>
          <w:trHeight w:val="3876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06C" w:rsidRDefault="00D2506C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</w:rPr>
              <w:object w:dxaOrig="10154" w:dyaOrig="6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05pt;height:252pt" o:ole="">
                  <v:imagedata r:id="rId5" o:title=""/>
                </v:shape>
                <o:OLEObject Type="Embed" ProgID="PBrush" ShapeID="_x0000_i1025" DrawAspect="Content" ObjectID="_1412323396" r:id="rId6"/>
              </w:object>
            </w:r>
          </w:p>
        </w:tc>
      </w:tr>
      <w:tr w:rsidR="00D2506C" w:rsidTr="00726AF5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2506C" w:rsidRDefault="00D2506C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Рис. 4.5. </w:t>
            </w:r>
            <w:r>
              <w:rPr>
                <w:rFonts w:cs="Times New Roman"/>
              </w:rPr>
              <w:t xml:space="preserve">Кривая титрования смеси 0,1М </w:t>
            </w:r>
            <w:proofErr w:type="spellStart"/>
            <w:r>
              <w:rPr>
                <w:rFonts w:cs="Times New Roman"/>
                <w:lang w:val="en-US"/>
              </w:rPr>
              <w:t>HCl</w:t>
            </w:r>
            <w:proofErr w:type="spellEnd"/>
            <w:r>
              <w:rPr>
                <w:rFonts w:cs="Times New Roman"/>
              </w:rPr>
              <w:t xml:space="preserve"> и 0,1М СН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СООН 0,1М ра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твор</w:t>
            </w:r>
            <w:proofErr w:type="gramStart"/>
            <w:r>
              <w:rPr>
                <w:rFonts w:cs="Times New Roman"/>
                <w:lang w:val="en-US"/>
              </w:rPr>
              <w:t>o</w:t>
            </w:r>
            <w:proofErr w:type="gramEnd"/>
            <w:r>
              <w:rPr>
                <w:rFonts w:cs="Times New Roman"/>
              </w:rPr>
              <w:t xml:space="preserve">м </w:t>
            </w: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</w:tbl>
    <w:p w:rsidR="00D2506C" w:rsidRDefault="00D2506C" w:rsidP="00D2506C">
      <w:pPr>
        <w:jc w:val="both"/>
        <w:rPr>
          <w:rFonts w:cs="Times New Roman"/>
          <w:sz w:val="28"/>
          <w:szCs w:val="28"/>
        </w:rPr>
      </w:pPr>
    </w:p>
    <w:p w:rsidR="00D2506C" w:rsidRDefault="00D2506C" w:rsidP="00D2506C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Титрование с метиловым оранжевым позволяет рассчитать примерное, с относительной погрешностью в несколько процентов, количество </w:t>
      </w:r>
      <w:proofErr w:type="spellStart"/>
      <w:r>
        <w:rPr>
          <w:rFonts w:cs="Times New Roman"/>
          <w:sz w:val="28"/>
          <w:szCs w:val="28"/>
        </w:rPr>
        <w:t>хлоров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дородной</w:t>
      </w:r>
      <w:proofErr w:type="spellEnd"/>
      <w:r>
        <w:rPr>
          <w:rFonts w:cs="Times New Roman"/>
          <w:sz w:val="28"/>
          <w:szCs w:val="28"/>
        </w:rPr>
        <w:t xml:space="preserve"> кислоты (скачок титрования составляет всего 0,13 единицы рН), а по результатам титрования с фенолфталеином – более точно определить суммарное содержание обеих кислот.</w:t>
      </w:r>
      <w:proofErr w:type="gramEnd"/>
    </w:p>
    <w:p w:rsidR="00B15ADF" w:rsidRDefault="00B15ADF"/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6C"/>
    <w:rsid w:val="00B15ADF"/>
    <w:rsid w:val="00D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2012-10-21T07:06:00Z</dcterms:created>
  <dcterms:modified xsi:type="dcterms:W3CDTF">2012-10-21T07:06:00Z</dcterms:modified>
</cp:coreProperties>
</file>