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i/>
          <w:iCs/>
          <w:sz w:val="28"/>
          <w:szCs w:val="28"/>
        </w:rPr>
        <w:t>Титрование многоосновных (</w:t>
      </w:r>
      <w:proofErr w:type="spellStart"/>
      <w:r>
        <w:rPr>
          <w:rFonts w:cs="Times New Roman"/>
          <w:i/>
          <w:iCs/>
          <w:sz w:val="28"/>
          <w:szCs w:val="28"/>
        </w:rPr>
        <w:t>полипротонных</w:t>
      </w:r>
      <w:proofErr w:type="spellEnd"/>
      <w:r>
        <w:rPr>
          <w:rFonts w:cs="Times New Roman"/>
          <w:i/>
          <w:iCs/>
          <w:sz w:val="28"/>
          <w:szCs w:val="28"/>
        </w:rPr>
        <w:t>) кислот</w:t>
      </w:r>
      <w:bookmarkEnd w:id="0"/>
      <w:r>
        <w:rPr>
          <w:rFonts w:cs="Times New Roman"/>
          <w:i/>
          <w:iCs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Основное разл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чие в расчётах кривой титрования одно- и многоосновных кислот связано со ступенчатой диссоциацией многоосновных кислот и, как следствие, с во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можным существованием двух или более скачков титрования. Кривая титр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вания многоосновной кислоты до первой точки эквивалентности рассчитыв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ется по тем же соотношениям, которые использовали для расчёта кривой титрования одноосновной кислоты, учитывая диссоциацию многоосновной кислоты только по первой ступени. Возможность титрования кислоты с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данной точностью по первой точке эквивалентности зависит от соотношения ступенчатых констант диссоциации кислоты.</w:t>
      </w: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Например, для кислоты Н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А можно вывести такое соотношение:</w:t>
      </w: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380"/>
        <w:gridCol w:w="1080"/>
      </w:tblGrid>
      <w:tr w:rsidR="007A082E" w:rsidTr="00726AF5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7A082E" w:rsidRDefault="007A082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  <w:position w:val="-30"/>
                <w:sz w:val="28"/>
                <w:szCs w:val="28"/>
              </w:rPr>
              <w:object w:dxaOrig="9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35.3pt" o:ole="">
                  <v:imagedata r:id="rId5" o:title=""/>
                </v:shape>
                <o:OLEObject Type="Embed" ProgID="Equation.3" ShapeID="_x0000_i1025" DrawAspect="Content" ObjectID="_1412323357" r:id="rId6"/>
              </w:objec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82E" w:rsidRDefault="007A082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(4.9)</w:t>
            </w:r>
          </w:p>
        </w:tc>
      </w:tr>
    </w:tbl>
    <w:p w:rsidR="007A082E" w:rsidRDefault="007A082E" w:rsidP="007A082E">
      <w:pPr>
        <w:jc w:val="both"/>
        <w:rPr>
          <w:rFonts w:cs="Times New Roman"/>
          <w:sz w:val="28"/>
          <w:szCs w:val="28"/>
        </w:rPr>
      </w:pP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Отношение (4.9) показывает, что титрование многоосновной кислоты по первой ступени с погрешностью не, большей одного процента, возможно, если вторая константа диссоциации будет на 4 порядка меньше, чем первая.</w:t>
      </w: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Например, у фосфорной кислоты р</w:t>
      </w:r>
      <w:r>
        <w:rPr>
          <w:rFonts w:cs="Times New Roman"/>
          <w:i/>
          <w:iCs/>
          <w:sz w:val="28"/>
          <w:szCs w:val="28"/>
        </w:rPr>
        <w:t>К</w:t>
      </w:r>
      <w:proofErr w:type="gramStart"/>
      <w:r>
        <w:rPr>
          <w:rFonts w:cs="Times New Roman"/>
          <w:sz w:val="28"/>
          <w:szCs w:val="28"/>
          <w:vertAlign w:val="subscript"/>
        </w:rPr>
        <w:t>1</w:t>
      </w:r>
      <w:proofErr w:type="gramEnd"/>
      <w:r>
        <w:rPr>
          <w:rFonts w:cs="Times New Roman"/>
          <w:sz w:val="28"/>
          <w:szCs w:val="28"/>
        </w:rPr>
        <w:t xml:space="preserve"> = 2,12; р</w:t>
      </w:r>
      <w:r>
        <w:rPr>
          <w:rFonts w:cs="Times New Roman"/>
          <w:i/>
          <w:iCs/>
          <w:sz w:val="28"/>
          <w:szCs w:val="28"/>
        </w:rPr>
        <w:t>К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= 7,21 и р</w:t>
      </w:r>
      <w:r>
        <w:rPr>
          <w:rFonts w:cs="Times New Roman"/>
          <w:i/>
          <w:iCs/>
          <w:sz w:val="28"/>
          <w:szCs w:val="28"/>
        </w:rPr>
        <w:t>К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 xml:space="preserve"> = 12,38. Вторая константа диссоциации отличается от первой примерно на 5 поря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ков, следовательно, погрешность титрования фосфорной кислоты по первой ступени будет меньше 1%, но больше чем 0, 1%. У щавелевой кислоты р</w:t>
      </w:r>
      <w:r>
        <w:rPr>
          <w:rFonts w:cs="Times New Roman"/>
          <w:i/>
          <w:iCs/>
          <w:sz w:val="28"/>
          <w:szCs w:val="28"/>
        </w:rPr>
        <w:t>К</w:t>
      </w:r>
      <w:proofErr w:type="gramStart"/>
      <w:r>
        <w:rPr>
          <w:rFonts w:cs="Times New Roman"/>
          <w:sz w:val="28"/>
          <w:szCs w:val="28"/>
          <w:vertAlign w:val="subscript"/>
        </w:rPr>
        <w:t>1</w:t>
      </w:r>
      <w:proofErr w:type="gramEnd"/>
      <w:r>
        <w:rPr>
          <w:rFonts w:cs="Times New Roman"/>
          <w:sz w:val="28"/>
          <w:szCs w:val="28"/>
        </w:rPr>
        <w:t xml:space="preserve"> = = 1,25, р</w:t>
      </w:r>
      <w:r>
        <w:rPr>
          <w:rFonts w:cs="Times New Roman"/>
          <w:i/>
          <w:iCs/>
          <w:sz w:val="28"/>
          <w:szCs w:val="28"/>
        </w:rPr>
        <w:t>К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= 4,27, поэтому погрешность титрования щавелевой кислоты по первой ступени будет превышать 1%.</w:t>
      </w: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 рис. 4.4 приведена рассчитанная кривая титрования 100,0 мл 0,1 М Н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>РО</w:t>
      </w:r>
      <w:r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</w:rPr>
        <w:t xml:space="preserve"> 0,1 М раствором 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>. Как показывает этот рисунок, кривая титров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ния имеет два чётко выраженных скачка титрования. В области кривой ти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рования, соответствующей третьему скачку, последнего не наблюдается, так как константа диссоциации фосфорной кислоты по третьей ступени очень мала (4,2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-13</w:t>
      </w:r>
      <w:r>
        <w:rPr>
          <w:rFonts w:cs="Times New Roman"/>
          <w:sz w:val="28"/>
          <w:szCs w:val="28"/>
        </w:rPr>
        <w:t>). Первый скачок соответствует достижению первой  точки э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вивалентности, когда кислота </w:t>
      </w:r>
      <w:proofErr w:type="spellStart"/>
      <w:r>
        <w:rPr>
          <w:rFonts w:cs="Times New Roman"/>
          <w:sz w:val="28"/>
          <w:szCs w:val="28"/>
        </w:rPr>
        <w:t>оттитровывается</w:t>
      </w:r>
      <w:proofErr w:type="spellEnd"/>
      <w:r>
        <w:rPr>
          <w:rFonts w:cs="Times New Roman"/>
          <w:sz w:val="28"/>
          <w:szCs w:val="28"/>
        </w:rPr>
        <w:t xml:space="preserve"> по первой ступени, второй скачок характеризует конец титрования кислоты по второй ступени. При необходимости оттитровать фосфорную кислоту по третьей ступени дисс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циации в раствор вводят </w:t>
      </w:r>
      <w:proofErr w:type="spellStart"/>
      <w:r>
        <w:rPr>
          <w:rFonts w:cs="Times New Roman"/>
          <w:sz w:val="28"/>
          <w:szCs w:val="28"/>
          <w:lang w:val="en-US"/>
        </w:rPr>
        <w:t>CaCl</w:t>
      </w:r>
      <w:proofErr w:type="spellEnd"/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, в результате чего образуется малораствор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мый Са</w:t>
      </w:r>
      <w:r>
        <w:rPr>
          <w:rFonts w:cs="Times New Roman"/>
          <w:sz w:val="28"/>
          <w:szCs w:val="28"/>
          <w:vertAlign w:val="subscript"/>
        </w:rPr>
        <w:t>3</w:t>
      </w:r>
      <w:r>
        <w:rPr>
          <w:rFonts w:cs="Times New Roman"/>
          <w:sz w:val="28"/>
          <w:szCs w:val="28"/>
        </w:rPr>
        <w:t>(РО</w:t>
      </w:r>
      <w:proofErr w:type="gramStart"/>
      <w:r>
        <w:rPr>
          <w:rFonts w:cs="Times New Roman"/>
          <w:sz w:val="28"/>
          <w:szCs w:val="28"/>
          <w:vertAlign w:val="subscript"/>
        </w:rPr>
        <w:t>4</w:t>
      </w:r>
      <w:proofErr w:type="gramEnd"/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>:</w:t>
      </w: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7A082E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7A082E" w:rsidRDefault="007A082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2Н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8"/>
                <w:szCs w:val="28"/>
              </w:rPr>
              <w:t>РО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+ 3Са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2+</w:t>
            </w:r>
            <w:r>
              <w:rPr>
                <w:rFonts w:cs="Times New Roman"/>
                <w:sz w:val="28"/>
                <w:szCs w:val="28"/>
              </w:rPr>
              <w:t xml:space="preserve"> = Са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8"/>
                <w:szCs w:val="28"/>
              </w:rPr>
              <w:t>(РО</w:t>
            </w:r>
            <w:proofErr w:type="gramStart"/>
            <w:r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↓ + 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</w:tc>
      </w:tr>
    </w:tbl>
    <w:p w:rsidR="007A082E" w:rsidRDefault="007A082E" w:rsidP="007A082E">
      <w:pPr>
        <w:jc w:val="both"/>
        <w:rPr>
          <w:rFonts w:cs="Times New Roman"/>
          <w:sz w:val="28"/>
          <w:szCs w:val="28"/>
        </w:rPr>
      </w:pP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</w:t>
      </w:r>
      <w:proofErr w:type="gramStart"/>
      <w:r>
        <w:rPr>
          <w:rFonts w:cs="Times New Roman"/>
          <w:sz w:val="28"/>
          <w:szCs w:val="28"/>
        </w:rPr>
        <w:t>выделившийся</w:t>
      </w:r>
      <w:proofErr w:type="gramEnd"/>
      <w:r>
        <w:rPr>
          <w:rFonts w:cs="Times New Roman"/>
          <w:sz w:val="28"/>
          <w:szCs w:val="28"/>
        </w:rPr>
        <w:t xml:space="preserve"> Н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 тируют обычным методом.</w:t>
      </w:r>
    </w:p>
    <w:p w:rsidR="007A082E" w:rsidRDefault="007A082E" w:rsidP="007A082E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7A082E" w:rsidTr="00726AF5">
        <w:trPr>
          <w:trHeight w:val="401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82E" w:rsidRDefault="007A082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</w:rPr>
              <w:object w:dxaOrig="10289" w:dyaOrig="6674">
                <v:shape id="_x0000_i1026" type="#_x0000_t75" style="width:345.05pt;height:224.15pt" o:ole="">
                  <v:imagedata r:id="rId7" o:title=""/>
                </v:shape>
                <o:OLEObject Type="Embed" ProgID="PBrush" ShapeID="_x0000_i1026" DrawAspect="Content" ObjectID="_1412323358" r:id="rId8"/>
              </w:object>
            </w:r>
          </w:p>
        </w:tc>
      </w:tr>
      <w:tr w:rsidR="007A082E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7A082E" w:rsidRDefault="007A082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Рис. 4.4. </w:t>
            </w:r>
            <w:r>
              <w:rPr>
                <w:rFonts w:cs="Times New Roman"/>
              </w:rPr>
              <w:t>Кривая титрования 100,0 мл 0,1М Н</w:t>
            </w:r>
            <w:r>
              <w:rPr>
                <w:rFonts w:cs="Times New Roman"/>
                <w:vertAlign w:val="subscript"/>
              </w:rPr>
              <w:t>3</w:t>
            </w:r>
            <w:r>
              <w:rPr>
                <w:rFonts w:cs="Times New Roman"/>
              </w:rPr>
              <w:t>РО</w:t>
            </w:r>
            <w:r>
              <w:rPr>
                <w:rFonts w:cs="Times New Roman"/>
                <w:vertAlign w:val="subscript"/>
              </w:rPr>
              <w:t>4</w:t>
            </w:r>
            <w:r>
              <w:rPr>
                <w:rFonts w:cs="Times New Roman"/>
              </w:rPr>
              <w:t xml:space="preserve"> 0,1М раствором </w:t>
            </w:r>
            <w:proofErr w:type="spellStart"/>
            <w:r>
              <w:rPr>
                <w:rFonts w:cs="Times New Roman"/>
                <w:lang w:val="en-US"/>
              </w:rPr>
              <w:t>NaOH</w:t>
            </w:r>
            <w:proofErr w:type="spellEnd"/>
          </w:p>
        </w:tc>
      </w:tr>
    </w:tbl>
    <w:p w:rsidR="007A082E" w:rsidRDefault="007A082E" w:rsidP="007A08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7A082E" w:rsidRDefault="007A082E" w:rsidP="007A082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Интервалы перехода метилового оранжевого и фенолфталеина, нан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сённые на рис. 4.4, показывают, что метиловый оранжевый изменяет свой цвет в области первой точки эквивалентности, а фенолфталеин – в области второй. </w:t>
      </w:r>
      <w:proofErr w:type="gramStart"/>
      <w:r>
        <w:rPr>
          <w:rFonts w:cs="Times New Roman"/>
          <w:sz w:val="28"/>
          <w:szCs w:val="28"/>
        </w:rPr>
        <w:t>Таким образом, фосфорную кислоту можно оттитровать как одноо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новную, если в качестве индикатора взять метиловый оранжевый, и как двух основную, если использовать фенолфталеин.</w:t>
      </w:r>
      <w:proofErr w:type="gramEnd"/>
    </w:p>
    <w:p w:rsidR="00B15ADF" w:rsidRDefault="00B15ADF"/>
    <w:sectPr w:rsidR="00B1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2E"/>
    <w:rsid w:val="007A082E"/>
    <w:rsid w:val="00B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2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2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2012-10-21T07:05:00Z</dcterms:created>
  <dcterms:modified xsi:type="dcterms:W3CDTF">2012-10-21T07:05:00Z</dcterms:modified>
</cp:coreProperties>
</file>