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  <w:u w:val="single"/>
        </w:rPr>
        <w:t>Кислотно-основное титрование и индикаторы.</w:t>
      </w:r>
      <w:r>
        <w:rPr>
          <w:rFonts w:cs="Times New Roman"/>
          <w:sz w:val="28"/>
          <w:szCs w:val="28"/>
        </w:rPr>
        <w:t xml:space="preserve"> Кислотно-основное титрование относится к титриметрическим методам анализа, где в качестве аналитической реакции используются реакции нейтрализации. В отличие от </w:t>
      </w:r>
      <w:proofErr w:type="spellStart"/>
      <w:r>
        <w:rPr>
          <w:rFonts w:cs="Times New Roman"/>
          <w:sz w:val="28"/>
          <w:szCs w:val="28"/>
        </w:rPr>
        <w:t>окислительно</w:t>
      </w:r>
      <w:proofErr w:type="spellEnd"/>
      <w:r>
        <w:rPr>
          <w:rFonts w:cs="Times New Roman"/>
          <w:sz w:val="28"/>
          <w:szCs w:val="28"/>
        </w:rPr>
        <w:t>-восстановительных реакций в реакциях нейтрализации не пр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исходит переноса электронов между участниками реакции, а происходит только обмен ионами между реагентами. Поэтому реакции нейтрализации иногда называют реакциями ионного обмена.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Поскольку в процессе кислотно-основного титрования измеряется к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личество кислоты (концентрация Н</w:t>
      </w:r>
      <w:proofErr w:type="gramStart"/>
      <w:r>
        <w:rPr>
          <w:rFonts w:cs="Times New Roman"/>
          <w:sz w:val="28"/>
          <w:szCs w:val="28"/>
          <w:vertAlign w:val="superscript"/>
        </w:rPr>
        <w:t>+</w:t>
      </w:r>
      <w:r>
        <w:rPr>
          <w:rFonts w:cs="Times New Roman"/>
          <w:sz w:val="28"/>
          <w:szCs w:val="28"/>
        </w:rPr>
        <w:t>-</w:t>
      </w:r>
      <w:proofErr w:type="gramEnd"/>
      <w:r>
        <w:rPr>
          <w:rFonts w:cs="Times New Roman"/>
          <w:sz w:val="28"/>
          <w:szCs w:val="28"/>
        </w:rPr>
        <w:t xml:space="preserve">ионов) иногда этот метод называется </w:t>
      </w:r>
      <w:proofErr w:type="spellStart"/>
      <w:r>
        <w:rPr>
          <w:rFonts w:cs="Times New Roman"/>
          <w:sz w:val="28"/>
          <w:szCs w:val="28"/>
        </w:rPr>
        <w:t>протолитометрия</w:t>
      </w:r>
      <w:proofErr w:type="spellEnd"/>
      <w:r>
        <w:rPr>
          <w:rFonts w:cs="Times New Roman"/>
          <w:sz w:val="28"/>
          <w:szCs w:val="28"/>
        </w:rPr>
        <w:t xml:space="preserve"> (измерение количества протонов). Другие названия метода – </w:t>
      </w:r>
      <w:r>
        <w:rPr>
          <w:rFonts w:cs="Times New Roman"/>
          <w:i/>
          <w:iCs/>
          <w:sz w:val="28"/>
          <w:szCs w:val="28"/>
        </w:rPr>
        <w:t xml:space="preserve">ацидиметрия </w:t>
      </w:r>
      <w:r>
        <w:rPr>
          <w:rFonts w:cs="Times New Roman"/>
          <w:sz w:val="28"/>
          <w:szCs w:val="28"/>
        </w:rPr>
        <w:t xml:space="preserve">(от англ. </w:t>
      </w:r>
      <w:proofErr w:type="spellStart"/>
      <w:r>
        <w:rPr>
          <w:rFonts w:cs="Times New Roman"/>
          <w:sz w:val="28"/>
          <w:szCs w:val="28"/>
          <w:lang w:val="en-US"/>
        </w:rPr>
        <w:t>acide</w:t>
      </w:r>
      <w:proofErr w:type="spellEnd"/>
      <w:r>
        <w:rPr>
          <w:rFonts w:cs="Times New Roman"/>
          <w:sz w:val="28"/>
          <w:szCs w:val="28"/>
        </w:rPr>
        <w:t xml:space="preserve"> – кислота), </w:t>
      </w:r>
      <w:r>
        <w:rPr>
          <w:rFonts w:cs="Times New Roman"/>
          <w:i/>
          <w:iCs/>
          <w:sz w:val="28"/>
          <w:szCs w:val="28"/>
        </w:rPr>
        <w:t xml:space="preserve">алкалиметрия </w:t>
      </w:r>
      <w:r>
        <w:rPr>
          <w:rFonts w:cs="Times New Roman"/>
          <w:sz w:val="28"/>
          <w:szCs w:val="28"/>
        </w:rPr>
        <w:t xml:space="preserve">(от англ. </w:t>
      </w:r>
      <w:proofErr w:type="spellStart"/>
      <w:r>
        <w:rPr>
          <w:rFonts w:cs="Times New Roman"/>
          <w:sz w:val="28"/>
          <w:szCs w:val="28"/>
          <w:lang w:val="en-US"/>
        </w:rPr>
        <w:t>aikaline</w:t>
      </w:r>
      <w:proofErr w:type="spellEnd"/>
      <w:r>
        <w:rPr>
          <w:rFonts w:cs="Times New Roman"/>
          <w:sz w:val="28"/>
          <w:szCs w:val="28"/>
        </w:rPr>
        <w:t xml:space="preserve"> – щелочь). Всё это одно и то же, т. е. речь идёт об измерении [</w:t>
      </w:r>
      <w:r>
        <w:rPr>
          <w:rFonts w:cs="Times New Roman"/>
          <w:sz w:val="28"/>
          <w:szCs w:val="28"/>
          <w:lang w:val="en-US"/>
        </w:rPr>
        <w:t>H</w:t>
      </w:r>
      <w:r>
        <w:rPr>
          <w:rFonts w:cs="Times New Roman"/>
          <w:sz w:val="28"/>
          <w:szCs w:val="28"/>
          <w:vertAlign w:val="superscript"/>
        </w:rPr>
        <w:t>+</w:t>
      </w:r>
      <w:r>
        <w:rPr>
          <w:rFonts w:cs="Times New Roman"/>
          <w:sz w:val="28"/>
          <w:szCs w:val="28"/>
        </w:rPr>
        <w:t>] или [</w:t>
      </w:r>
      <w:r>
        <w:rPr>
          <w:rFonts w:cs="Times New Roman"/>
          <w:sz w:val="28"/>
          <w:szCs w:val="28"/>
          <w:lang w:val="en-US"/>
        </w:rPr>
        <w:t>OH</w:t>
      </w:r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 xml:space="preserve">], которые принято выражать как рН и </w:t>
      </w:r>
      <w:proofErr w:type="spellStart"/>
      <w:r>
        <w:rPr>
          <w:rFonts w:cs="Times New Roman"/>
          <w:sz w:val="28"/>
          <w:szCs w:val="28"/>
        </w:rPr>
        <w:t>рОН</w:t>
      </w:r>
      <w:proofErr w:type="spellEnd"/>
      <w:r>
        <w:rPr>
          <w:rFonts w:cs="Times New Roman"/>
          <w:sz w:val="28"/>
          <w:szCs w:val="28"/>
        </w:rPr>
        <w:t xml:space="preserve"> (см. гл. </w:t>
      </w:r>
      <w:r>
        <w:rPr>
          <w:rFonts w:cs="Times New Roman"/>
          <w:sz w:val="28"/>
          <w:szCs w:val="28"/>
          <w:lang w:val="en-US"/>
        </w:rPr>
        <w:t>II</w:t>
      </w:r>
      <w:r w:rsidRPr="000D2B2E">
        <w:rPr>
          <w:rFonts w:cs="Times New Roman"/>
          <w:sz w:val="28"/>
          <w:szCs w:val="28"/>
        </w:rPr>
        <w:t xml:space="preserve">). 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методах кислотно-основного титрования основной является реакция передачи протона от </w:t>
      </w:r>
      <w:proofErr w:type="spellStart"/>
      <w:r>
        <w:rPr>
          <w:rFonts w:cs="Times New Roman"/>
          <w:sz w:val="28"/>
          <w:szCs w:val="28"/>
        </w:rPr>
        <w:t>титранта</w:t>
      </w:r>
      <w:proofErr w:type="spellEnd"/>
      <w:r>
        <w:rPr>
          <w:rFonts w:cs="Times New Roman"/>
          <w:sz w:val="28"/>
          <w:szCs w:val="28"/>
        </w:rPr>
        <w:t xml:space="preserve"> к титруемому веществу или от титруемого вещества к </w:t>
      </w:r>
      <w:proofErr w:type="spellStart"/>
      <w:r>
        <w:rPr>
          <w:rFonts w:cs="Times New Roman"/>
          <w:sz w:val="28"/>
          <w:szCs w:val="28"/>
        </w:rPr>
        <w:t>титранту</w:t>
      </w:r>
      <w:proofErr w:type="spellEnd"/>
      <w:r>
        <w:rPr>
          <w:rFonts w:cs="Times New Roman"/>
          <w:sz w:val="28"/>
          <w:szCs w:val="28"/>
        </w:rPr>
        <w:t>. Реакции кислотно-основного взаимодействия характер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зуются высокой скоростью и протекают строго </w:t>
      </w:r>
      <w:proofErr w:type="spellStart"/>
      <w:r>
        <w:rPr>
          <w:rFonts w:cs="Times New Roman"/>
          <w:sz w:val="28"/>
          <w:szCs w:val="28"/>
        </w:rPr>
        <w:t>стехиометрически</w:t>
      </w:r>
      <w:proofErr w:type="spellEnd"/>
      <w:r>
        <w:rPr>
          <w:rFonts w:cs="Times New Roman"/>
          <w:sz w:val="28"/>
          <w:szCs w:val="28"/>
        </w:rPr>
        <w:t>. В качестве рабочих растворов используют растворы сильных кислот (</w:t>
      </w:r>
      <w:proofErr w:type="spellStart"/>
      <w:r>
        <w:rPr>
          <w:rFonts w:cs="Times New Roman"/>
          <w:sz w:val="28"/>
          <w:szCs w:val="28"/>
          <w:lang w:val="en-US"/>
        </w:rPr>
        <w:t>HCl</w:t>
      </w:r>
      <w:proofErr w:type="spellEnd"/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en-US"/>
        </w:rPr>
        <w:t>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  <w:lang w:val="en-US"/>
        </w:rPr>
        <w:t>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и т. д.) концентрации от 0,05 до 1,0 моль/</w:t>
      </w:r>
      <w:proofErr w:type="gramStart"/>
      <w:r>
        <w:rPr>
          <w:rFonts w:cs="Times New Roman"/>
          <w:sz w:val="28"/>
          <w:szCs w:val="28"/>
        </w:rPr>
        <w:t>л</w:t>
      </w:r>
      <w:proofErr w:type="gramEnd"/>
      <w:r>
        <w:rPr>
          <w:rFonts w:cs="Times New Roman"/>
          <w:sz w:val="28"/>
          <w:szCs w:val="28"/>
        </w:rPr>
        <w:t xml:space="preserve"> или сильных оснований (</w:t>
      </w:r>
      <w:proofErr w:type="spellStart"/>
      <w:r>
        <w:rPr>
          <w:rFonts w:cs="Times New Roman"/>
          <w:sz w:val="28"/>
          <w:szCs w:val="28"/>
          <w:lang w:val="en-US"/>
        </w:rPr>
        <w:t>NaOH</w:t>
      </w:r>
      <w:proofErr w:type="spellEnd"/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en-US"/>
        </w:rPr>
        <w:t>KOH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en-US"/>
        </w:rPr>
        <w:t>Ba</w:t>
      </w:r>
      <w:r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  <w:lang w:val="en-US"/>
        </w:rPr>
        <w:t>OH</w:t>
      </w:r>
      <w:r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и т. д.) той же концентрации.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i/>
          <w:iCs/>
          <w:sz w:val="28"/>
          <w:szCs w:val="28"/>
        </w:rPr>
        <w:t xml:space="preserve">рН индикаторы. </w:t>
      </w:r>
      <w:r>
        <w:rPr>
          <w:rFonts w:cs="Times New Roman"/>
          <w:sz w:val="28"/>
          <w:szCs w:val="28"/>
        </w:rPr>
        <w:t>Наибольшее распространение в практике водного ти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 xml:space="preserve">риметрического анализа получили </w:t>
      </w:r>
      <w:r>
        <w:rPr>
          <w:rFonts w:cs="Times New Roman"/>
          <w:i/>
          <w:iCs/>
          <w:sz w:val="28"/>
          <w:szCs w:val="28"/>
        </w:rPr>
        <w:t>цветные индикаторы</w:t>
      </w:r>
      <w:r>
        <w:rPr>
          <w:rFonts w:cs="Times New Roman"/>
          <w:sz w:val="28"/>
          <w:szCs w:val="28"/>
        </w:rPr>
        <w:t>, окраска которых зависит от рН раствора. Первым индикатором, использованным для этой ц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ли, был лакмус, который получали из растительного сырья. 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конце </w:t>
      </w:r>
      <w:r>
        <w:rPr>
          <w:rFonts w:cs="Times New Roman"/>
          <w:sz w:val="28"/>
          <w:szCs w:val="28"/>
          <w:lang w:val="en-US"/>
        </w:rPr>
        <w:t>XIX</w:t>
      </w:r>
      <w:r>
        <w:rPr>
          <w:rFonts w:cs="Times New Roman"/>
          <w:sz w:val="28"/>
          <w:szCs w:val="28"/>
        </w:rPr>
        <w:t xml:space="preserve"> в. практике титриметрического анализа стали применять </w:t>
      </w:r>
      <w:r>
        <w:rPr>
          <w:rFonts w:cs="Times New Roman"/>
          <w:i/>
          <w:iCs/>
          <w:sz w:val="28"/>
          <w:szCs w:val="28"/>
        </w:rPr>
        <w:t>синтетические индикаторы</w:t>
      </w:r>
      <w:r>
        <w:rPr>
          <w:rFonts w:cs="Times New Roman"/>
          <w:sz w:val="28"/>
          <w:szCs w:val="28"/>
        </w:rPr>
        <w:t xml:space="preserve">: сначала фенолфталеин, а затем </w:t>
      </w:r>
      <w:proofErr w:type="spellStart"/>
      <w:r>
        <w:rPr>
          <w:rFonts w:cs="Times New Roman"/>
          <w:sz w:val="28"/>
          <w:szCs w:val="28"/>
        </w:rPr>
        <w:t>азокрасители</w:t>
      </w:r>
      <w:proofErr w:type="spellEnd"/>
      <w:r>
        <w:rPr>
          <w:rFonts w:cs="Times New Roman"/>
          <w:sz w:val="28"/>
          <w:szCs w:val="28"/>
        </w:rPr>
        <w:t xml:space="preserve"> и другие соединения. Использование синтетических индикаторов позволило существенно повысить точность титриметрических методов анализа, так как </w:t>
      </w:r>
      <w:proofErr w:type="gramStart"/>
      <w:r>
        <w:rPr>
          <w:rFonts w:cs="Times New Roman"/>
          <w:sz w:val="28"/>
          <w:szCs w:val="28"/>
        </w:rPr>
        <w:t>растительные экстракты, представляющие собой смесь различных приро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ных веществ имели</w:t>
      </w:r>
      <w:proofErr w:type="gramEnd"/>
      <w:r>
        <w:rPr>
          <w:rFonts w:cs="Times New Roman"/>
          <w:sz w:val="28"/>
          <w:szCs w:val="28"/>
        </w:rPr>
        <w:t xml:space="preserve"> ограниченную устойчивость и не всегда давали воспр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изводимые результаты. Из растительных экстрактов до настоящего времени сохранили определённое значение лишь лакмус и куркума.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Изменение цвета индикатора с изменением рН раствора общеизвестно: </w:t>
      </w:r>
      <w:proofErr w:type="gramStart"/>
      <w:r>
        <w:rPr>
          <w:rFonts w:cs="Times New Roman"/>
          <w:sz w:val="28"/>
          <w:szCs w:val="28"/>
        </w:rPr>
        <w:t>метиловый</w:t>
      </w:r>
      <w:proofErr w:type="gramEnd"/>
      <w:r>
        <w:rPr>
          <w:rFonts w:cs="Times New Roman"/>
          <w:sz w:val="28"/>
          <w:szCs w:val="28"/>
        </w:rPr>
        <w:t xml:space="preserve"> оранжевый в килой среде имеет красную окраску, а в щелочной – жёлтую.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 химической природе кислотно-основные индикаторы являются слабыми органическими кислотами или основаниями, частично </w:t>
      </w:r>
      <w:proofErr w:type="spellStart"/>
      <w:r>
        <w:rPr>
          <w:rFonts w:cs="Times New Roman"/>
          <w:sz w:val="28"/>
          <w:szCs w:val="28"/>
        </w:rPr>
        <w:t>диссоцииру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щими</w:t>
      </w:r>
      <w:proofErr w:type="spellEnd"/>
      <w:r>
        <w:rPr>
          <w:rFonts w:cs="Times New Roman"/>
          <w:sz w:val="28"/>
          <w:szCs w:val="28"/>
        </w:rPr>
        <w:t xml:space="preserve"> в растворе: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00"/>
        <w:gridCol w:w="1080"/>
      </w:tblGrid>
      <w:tr w:rsidR="007E0788" w:rsidTr="00726AF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HInd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= H</w:t>
            </w:r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Ind</w:t>
            </w:r>
            <w:proofErr w:type="spellEnd"/>
            <w:r>
              <w:rPr>
                <w:rFonts w:cs="Times New Roman"/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(4.1)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  <w:lang w:val="en-US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 теор</w:t>
      </w:r>
      <w:proofErr w:type="gramStart"/>
      <w:r>
        <w:rPr>
          <w:rFonts w:cs="Times New Roman"/>
          <w:sz w:val="28"/>
          <w:szCs w:val="28"/>
        </w:rPr>
        <w:t>ии ио</w:t>
      </w:r>
      <w:proofErr w:type="gramEnd"/>
      <w:r>
        <w:rPr>
          <w:rFonts w:cs="Times New Roman"/>
          <w:sz w:val="28"/>
          <w:szCs w:val="28"/>
        </w:rPr>
        <w:t xml:space="preserve">нных окрасок </w:t>
      </w:r>
      <w:proofErr w:type="spellStart"/>
      <w:r>
        <w:rPr>
          <w:rFonts w:cs="Times New Roman"/>
          <w:sz w:val="28"/>
          <w:szCs w:val="28"/>
        </w:rPr>
        <w:t>Оствальда</w:t>
      </w:r>
      <w:proofErr w:type="spellEnd"/>
      <w:r>
        <w:rPr>
          <w:rFonts w:cs="Times New Roman"/>
          <w:sz w:val="28"/>
          <w:szCs w:val="28"/>
        </w:rPr>
        <w:t xml:space="preserve"> недиссоциированные молекулы индикатора 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 и аниона 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 xml:space="preserve"> имеют разную окраску. Изменение цвета и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дикатора при изменении рН эта теория связывает со сдвигом равновесия ди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социации (4.1). С увеличением концентрации ионов водорода равновесие </w:t>
      </w:r>
      <w:r>
        <w:rPr>
          <w:rFonts w:cs="Times New Roman"/>
          <w:sz w:val="28"/>
          <w:szCs w:val="28"/>
        </w:rPr>
        <w:lastRenderedPageBreak/>
        <w:t xml:space="preserve">(4.1) сдвигается </w:t>
      </w:r>
      <w:proofErr w:type="gramStart"/>
      <w:r>
        <w:rPr>
          <w:rFonts w:cs="Times New Roman"/>
          <w:sz w:val="28"/>
          <w:szCs w:val="28"/>
        </w:rPr>
        <w:t>влево</w:t>
      </w:r>
      <w:proofErr w:type="gramEnd"/>
      <w:r>
        <w:rPr>
          <w:rFonts w:cs="Times New Roman"/>
          <w:sz w:val="28"/>
          <w:szCs w:val="28"/>
        </w:rPr>
        <w:t xml:space="preserve"> и раствор приобретает окраску 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, при уменьшении кислотности возрастает концентрация 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 xml:space="preserve"> и окраска раствора изменяется. </w:t>
      </w:r>
      <w:proofErr w:type="gramStart"/>
      <w:r>
        <w:rPr>
          <w:rFonts w:cs="Times New Roman"/>
          <w:sz w:val="28"/>
          <w:szCs w:val="28"/>
        </w:rPr>
        <w:t>Если одна из форм индикатора (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 или 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) бесцветна, индикатор назыв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ют одноцветным в отличие от двухцветных, у которых окрашены обе формы.</w:t>
      </w:r>
      <w:proofErr w:type="gramEnd"/>
      <w:r>
        <w:rPr>
          <w:rFonts w:cs="Times New Roman"/>
          <w:sz w:val="28"/>
          <w:szCs w:val="28"/>
        </w:rPr>
        <w:t xml:space="preserve"> У одноцветных индикаторов (например, фенолфталеина) при изменении рН происходит обесцвечивание раствора или появление окраски.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Равновесие (4.1) подчиняется закону действующих масс и колич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ственно характеризуется константой диссоциации индикатора </w:t>
      </w:r>
      <w:r w:rsidRPr="00C34AD8">
        <w:rPr>
          <w:rFonts w:cs="Times New Roman"/>
          <w:position w:val="-14"/>
          <w:sz w:val="28"/>
          <w:szCs w:val="28"/>
        </w:rPr>
        <w:object w:dxaOrig="5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15pt;height:20.4pt" o:ole="">
            <v:imagedata r:id="rId5" o:title=""/>
          </v:shape>
          <o:OLEObject Type="Embed" ProgID="Equation.3" ShapeID="_x0000_i1025" DrawAspect="Content" ObjectID="_1412323055" r:id="rId6"/>
        </w:object>
      </w:r>
      <w:r>
        <w:rPr>
          <w:rFonts w:cs="Times New Roman"/>
          <w:sz w:val="28"/>
          <w:szCs w:val="28"/>
        </w:rPr>
        <w:t>: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8280"/>
      </w:tblGrid>
      <w:tr w:rsidR="007E0788" w:rsidTr="00726AF5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34AD8">
              <w:rPr>
                <w:rFonts w:cs="Times New Roman"/>
                <w:position w:val="-32"/>
                <w:sz w:val="28"/>
                <w:szCs w:val="28"/>
                <w:lang w:val="en-US"/>
              </w:rPr>
              <w:object w:dxaOrig="4200" w:dyaOrig="760">
                <v:shape id="_x0000_i1026" type="#_x0000_t75" style="width:209.9pt;height:38.7pt" o:ole="">
                  <v:imagedata r:id="rId7" o:title=""/>
                </v:shape>
                <o:OLEObject Type="Embed" ProgID="Equation.3" ShapeID="_x0000_i1026" DrawAspect="Content" ObjectID="_1412323056" r:id="rId8"/>
              </w:object>
            </w:r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  <w:lang w:val="en-US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Рассмотрим с этой точки зрения один из наиболее широко применяемых индикаторов – метиловый оранжевый. </w:t>
      </w:r>
      <w:proofErr w:type="gramStart"/>
      <w:r>
        <w:rPr>
          <w:rFonts w:cs="Times New Roman"/>
          <w:sz w:val="28"/>
          <w:szCs w:val="28"/>
        </w:rPr>
        <w:t xml:space="preserve">Кислая форма 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 у него имеет кра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ный цвет, а щелочная 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 xml:space="preserve"> – жёлтый.</w:t>
      </w:r>
      <w:proofErr w:type="gramEnd"/>
      <w:r>
        <w:rPr>
          <w:rFonts w:cs="Times New Roman"/>
          <w:sz w:val="28"/>
          <w:szCs w:val="28"/>
        </w:rPr>
        <w:t xml:space="preserve"> Концентрационная константа диссоци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ции индикатора может быть записана в виде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7020"/>
        <w:gridCol w:w="1260"/>
      </w:tblGrid>
      <w:tr w:rsidR="007E0788" w:rsidTr="00726AF5"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 w:rsidRPr="00C34AD8">
              <w:rPr>
                <w:rFonts w:cs="Times New Roman"/>
                <w:position w:val="-28"/>
                <w:sz w:val="28"/>
                <w:szCs w:val="28"/>
              </w:rPr>
              <w:object w:dxaOrig="2020" w:dyaOrig="700">
                <v:shape id="_x0000_i1027" type="#_x0000_t75" style="width:101.2pt;height:35.3pt" o:ole="">
                  <v:imagedata r:id="rId9" o:title=""/>
                </v:shape>
                <o:OLEObject Type="Embed" ProgID="Equation.3" ShapeID="_x0000_i1027" DrawAspect="Content" ObjectID="_1412323057" r:id="rId10"/>
              </w:objec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(4.2)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Придадим уравнению (4.2) вид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7020"/>
        <w:gridCol w:w="1260"/>
      </w:tblGrid>
      <w:tr w:rsidR="007E0788" w:rsidTr="00726AF5"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 w:rsidRPr="00C34AD8">
              <w:rPr>
                <w:rFonts w:cs="Times New Roman"/>
                <w:position w:val="-28"/>
                <w:sz w:val="28"/>
                <w:szCs w:val="28"/>
              </w:rPr>
              <w:object w:dxaOrig="1660" w:dyaOrig="700">
                <v:shape id="_x0000_i1028" type="#_x0000_t75" style="width:83.55pt;height:35.3pt" o:ole="">
                  <v:imagedata r:id="rId11" o:title=""/>
                </v:shape>
                <o:OLEObject Type="Embed" ProgID="Equation.3" ShapeID="_x0000_i1028" DrawAspect="Content" ObjectID="_1412323058" r:id="rId12"/>
              </w:objec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(4.3)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Соотношение (4.3) показывает, что с увеличением концентрации ионов вод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рода дробь [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]/[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] будет уменьшаться и интенсивность жёлтой </w:t>
      </w:r>
      <w:proofErr w:type="gramStart"/>
      <w:r>
        <w:rPr>
          <w:rFonts w:cs="Times New Roman"/>
          <w:sz w:val="28"/>
          <w:szCs w:val="28"/>
        </w:rPr>
        <w:t>окраски</w:t>
      </w:r>
      <w:proofErr w:type="gramEnd"/>
      <w:r>
        <w:rPr>
          <w:rFonts w:cs="Times New Roman"/>
          <w:sz w:val="28"/>
          <w:szCs w:val="28"/>
        </w:rPr>
        <w:t xml:space="preserve"> поэтому также будет уменьшаться; если кислотность раствора снижать, то отношение [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]/[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] будет расти и интенсивность жёлтой окраски будет увеличиваться. При логарифмировании уравнение (4.3) переходит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7020"/>
        <w:gridCol w:w="1260"/>
      </w:tblGrid>
      <w:tr w:rsidR="007E0788" w:rsidTr="00726AF5"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 w:rsidRPr="00C34AD8">
              <w:rPr>
                <w:rFonts w:cs="Times New Roman"/>
                <w:position w:val="-28"/>
                <w:sz w:val="28"/>
                <w:szCs w:val="28"/>
              </w:rPr>
              <w:object w:dxaOrig="2580" w:dyaOrig="700">
                <v:shape id="_x0000_i1029" type="#_x0000_t75" style="width:129.05pt;height:35.3pt" o:ole="">
                  <v:imagedata r:id="rId13" o:title=""/>
                </v:shape>
                <o:OLEObject Type="Embed" ProgID="Equation.3" ShapeID="_x0000_i1029" DrawAspect="Content" ObjectID="_1412323059" r:id="rId14"/>
              </w:objec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(4.4)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Глаз человека способен установить появление окрашенных частиц, если их содержание будет примерно в 10 раз или более превышать концентр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цию других окрашенных частиц в растворе. Это означает применительно к уравнению (4.4), что если отношение [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</w:rPr>
        <w:t>]/[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>] будет близко к 1/10 и меньше, то цвет раствора будет восприниматься как цвет индикаторной фо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 xml:space="preserve">мы 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>. В интервале отношений [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]/[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>] ≥ 10 до [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]/[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>] ≤ 0,1 наблюдается промежуточная окраска индикатора. Уравнение (4.4) связывает интервал концентрационного отношения [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]/[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>] от 10 до 0,1 с интерв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лом рН, в котором происходит изменение цвета индикатора.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8280"/>
      </w:tblGrid>
      <w:tr w:rsidR="007E0788" w:rsidTr="00726AF5">
        <w:tc>
          <w:tcPr>
            <w:tcW w:w="8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ascii="Verdana" w:hAnsi="Verdana" w:cs="Verdana"/>
                <w:sz w:val="28"/>
                <w:szCs w:val="28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Интервал рН, в котором индикатор изменяет свою окраску, называют интервалом перехода индикатора.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Чтобы его найти, подставим предельные значения отношения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[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]/[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], </w:t>
      </w:r>
      <w:proofErr w:type="gramStart"/>
      <w:r>
        <w:rPr>
          <w:rFonts w:cs="Times New Roman"/>
          <w:sz w:val="28"/>
          <w:szCs w:val="28"/>
        </w:rPr>
        <w:t>равные</w:t>
      </w:r>
      <w:proofErr w:type="gramEnd"/>
      <w:r>
        <w:rPr>
          <w:rFonts w:cs="Times New Roman"/>
          <w:sz w:val="28"/>
          <w:szCs w:val="28"/>
        </w:rPr>
        <w:t xml:space="preserve"> 10 и 0,1, в уравнение (4.4):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7020"/>
        <w:gridCol w:w="1260"/>
      </w:tblGrid>
      <w:tr w:rsidR="007E0788" w:rsidTr="00726AF5"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 w:rsidRPr="00C34AD8">
              <w:rPr>
                <w:rFonts w:cs="Times New Roman"/>
                <w:position w:val="-28"/>
                <w:sz w:val="28"/>
                <w:szCs w:val="28"/>
              </w:rPr>
              <w:object w:dxaOrig="4000" w:dyaOrig="700">
                <v:shape id="_x0000_i1030" type="#_x0000_t75" style="width:200.4pt;height:35.3pt" o:ole="">
                  <v:imagedata r:id="rId15" o:title=""/>
                </v:shape>
                <o:OLEObject Type="Embed" ProgID="Equation.3" ShapeID="_x0000_i1030" DrawAspect="Content" ObjectID="_1412323060" r:id="rId16"/>
              </w:objec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(4.5)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Формула (4.5) показывает, что интервал перехода индикатора составляет примерно две единицы рН. Область рН, в которой находится интервал пер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хода индикатора, определяется </w:t>
      </w:r>
      <w:proofErr w:type="spellStart"/>
      <w:proofErr w:type="gramStart"/>
      <w:r>
        <w:rPr>
          <w:rFonts w:cs="Times New Roman"/>
          <w:sz w:val="28"/>
          <w:szCs w:val="28"/>
        </w:rPr>
        <w:t>р</w:t>
      </w:r>
      <w:r>
        <w:rPr>
          <w:rFonts w:cs="Times New Roman"/>
          <w:i/>
          <w:iCs/>
          <w:sz w:val="28"/>
          <w:szCs w:val="28"/>
        </w:rPr>
        <w:t>К</w:t>
      </w:r>
      <w:proofErr w:type="gramEnd"/>
      <w:r>
        <w:rPr>
          <w:rFonts w:cs="Times New Roman"/>
          <w:sz w:val="28"/>
          <w:szCs w:val="28"/>
          <w:vertAlign w:val="subscript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gramStart"/>
      <w:r>
        <w:rPr>
          <w:rFonts w:cs="Times New Roman"/>
          <w:sz w:val="28"/>
          <w:szCs w:val="28"/>
        </w:rPr>
        <w:t>Если рН &lt; 7, интервал перехода нах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дится в кислой области, если рН &gt; 7 – в щелочной.</w:t>
      </w:r>
      <w:proofErr w:type="gramEnd"/>
      <w:r>
        <w:rPr>
          <w:rFonts w:cs="Times New Roman"/>
          <w:sz w:val="28"/>
          <w:szCs w:val="28"/>
        </w:rPr>
        <w:t xml:space="preserve"> Соотношение (4.5) является приближённым, так как оно не учитывает спектральную чувствител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ность глаза и разницу в интенсивности окраски кислой и щелочной форм и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 xml:space="preserve">дикатора. У метилового оранжевого </w:t>
      </w:r>
      <w:proofErr w:type="spellStart"/>
      <w:proofErr w:type="gramStart"/>
      <w:r>
        <w:rPr>
          <w:rFonts w:cs="Times New Roman"/>
          <w:sz w:val="28"/>
          <w:szCs w:val="28"/>
        </w:rPr>
        <w:t>р</w:t>
      </w:r>
      <w:r>
        <w:rPr>
          <w:rFonts w:cs="Times New Roman"/>
          <w:i/>
          <w:iCs/>
          <w:sz w:val="28"/>
          <w:szCs w:val="28"/>
        </w:rPr>
        <w:t>К</w:t>
      </w:r>
      <w:proofErr w:type="gramEnd"/>
      <w:r>
        <w:rPr>
          <w:rFonts w:cs="Times New Roman"/>
          <w:sz w:val="28"/>
          <w:szCs w:val="28"/>
          <w:vertAlign w:val="subscript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 = 3,46. Из формулы (4.5) следует, что изменение цвета метилового оранжевого будет происходить в области рН от 2,46 до 4,46: экспериментально наблюдаемый интервал перехода этого и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дикатора лежит в области рН 3,1 – 4,4. У индикаторов, являющихся многоо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новными кислотами, наблюдается несколько интервалов перехода. Напр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мер, у двухосновного тимолового синего </w:t>
      </w:r>
      <w:r w:rsidRPr="00C34AD8">
        <w:rPr>
          <w:rFonts w:cs="Times New Roman"/>
          <w:position w:val="-22"/>
          <w:sz w:val="28"/>
          <w:szCs w:val="28"/>
        </w:rPr>
        <w:object w:dxaOrig="1680" w:dyaOrig="460">
          <v:shape id="_x0000_i1031" type="#_x0000_t75" style="width:84.25pt;height:23.1pt" o:ole="">
            <v:imagedata r:id="rId17" o:title=""/>
          </v:shape>
          <o:OLEObject Type="Embed" ProgID="Equation.3" ShapeID="_x0000_i1031" DrawAspect="Content" ObjectID="_1412323061" r:id="rId18"/>
        </w:object>
      </w:r>
      <w:r>
        <w:rPr>
          <w:rFonts w:cs="Times New Roman"/>
          <w:sz w:val="28"/>
          <w:szCs w:val="28"/>
        </w:rPr>
        <w:t xml:space="preserve">и </w:t>
      </w:r>
      <w:r w:rsidRPr="00C34AD8">
        <w:rPr>
          <w:rFonts w:cs="Times New Roman"/>
          <w:position w:val="-22"/>
          <w:sz w:val="28"/>
          <w:szCs w:val="28"/>
        </w:rPr>
        <w:object w:dxaOrig="1780" w:dyaOrig="460">
          <v:shape id="_x0000_i1032" type="#_x0000_t75" style="width:89.65pt;height:23.1pt" o:ole="">
            <v:imagedata r:id="rId19" o:title=""/>
          </v:shape>
          <o:OLEObject Type="Embed" ProgID="Equation.3" ShapeID="_x0000_i1032" DrawAspect="Content" ObjectID="_1412323062" r:id="rId20"/>
        </w:object>
      </w:r>
      <w:r>
        <w:rPr>
          <w:rFonts w:cs="Times New Roman"/>
          <w:sz w:val="28"/>
          <w:szCs w:val="28"/>
        </w:rPr>
        <w:t>, п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этому он имеет два интервала перехода. Первый интервал лежит в кислой области (</w:t>
      </w:r>
      <w:proofErr w:type="spellStart"/>
      <w:r>
        <w:rPr>
          <w:rFonts w:cs="Times New Roman"/>
          <w:sz w:val="28"/>
          <w:szCs w:val="28"/>
        </w:rPr>
        <w:t>ΔрН</w:t>
      </w:r>
      <w:proofErr w:type="spellEnd"/>
      <w:r>
        <w:rPr>
          <w:rFonts w:cs="Times New Roman"/>
          <w:sz w:val="28"/>
          <w:szCs w:val="28"/>
        </w:rPr>
        <w:t xml:space="preserve"> 1,2 – 2.8), а второй – в щелочной (</w:t>
      </w:r>
      <w:proofErr w:type="spellStart"/>
      <w:r>
        <w:rPr>
          <w:rFonts w:cs="Times New Roman"/>
          <w:sz w:val="28"/>
          <w:szCs w:val="28"/>
        </w:rPr>
        <w:t>ΔрН</w:t>
      </w:r>
      <w:proofErr w:type="spellEnd"/>
      <w:r>
        <w:rPr>
          <w:rFonts w:cs="Times New Roman"/>
          <w:sz w:val="28"/>
          <w:szCs w:val="28"/>
        </w:rPr>
        <w:t xml:space="preserve"> 8,0 – 9,6).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 Изменение цвета индикатора связано с существенным изменением его молекулярной структуры. В соответствии с </w:t>
      </w:r>
      <w:r>
        <w:rPr>
          <w:rFonts w:cs="Times New Roman"/>
          <w:i/>
          <w:iCs/>
          <w:sz w:val="28"/>
          <w:szCs w:val="28"/>
        </w:rPr>
        <w:t xml:space="preserve">хромофорной теорией </w:t>
      </w:r>
      <w:r>
        <w:rPr>
          <w:rFonts w:cs="Times New Roman"/>
          <w:sz w:val="28"/>
          <w:szCs w:val="28"/>
        </w:rPr>
        <w:t xml:space="preserve">окраска соединения связана с наличием в его молекуле, так называемых </w:t>
      </w:r>
      <w:r>
        <w:rPr>
          <w:rFonts w:cs="Times New Roman"/>
          <w:i/>
          <w:iCs/>
          <w:sz w:val="28"/>
          <w:szCs w:val="28"/>
        </w:rPr>
        <w:t>хромофо</w:t>
      </w:r>
      <w:r>
        <w:rPr>
          <w:rFonts w:cs="Times New Roman"/>
          <w:i/>
          <w:iCs/>
          <w:sz w:val="28"/>
          <w:szCs w:val="28"/>
        </w:rPr>
        <w:t>р</w:t>
      </w:r>
      <w:r>
        <w:rPr>
          <w:rFonts w:cs="Times New Roman"/>
          <w:i/>
          <w:iCs/>
          <w:sz w:val="28"/>
          <w:szCs w:val="28"/>
        </w:rPr>
        <w:t>ных</w:t>
      </w:r>
      <w:r>
        <w:rPr>
          <w:rFonts w:cs="Times New Roman"/>
          <w:sz w:val="28"/>
          <w:szCs w:val="28"/>
        </w:rPr>
        <w:t xml:space="preserve"> групп, к которым относятся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7920"/>
      </w:tblGrid>
      <w:tr w:rsidR="007E0788" w:rsidTr="00726AF5">
        <w:trPr>
          <w:trHeight w:val="862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 w:rsidRPr="00C34AD8">
              <w:rPr>
                <w:rFonts w:cs="Times New Roman"/>
              </w:rPr>
              <w:object w:dxaOrig="5610" w:dyaOrig="990">
                <v:shape id="_x0000_i1033" type="#_x0000_t75" style="width:281.2pt;height:50.25pt" o:ole="">
                  <v:imagedata r:id="rId21" o:title=""/>
                </v:shape>
                <o:OLEObject Type="Embed" ProgID="Msxml2.SAXXMLReader.5.0" ShapeID="_x0000_i1033" DrawAspect="Content" ObjectID="_1412323063" r:id="rId22"/>
              </w:objec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 т. д., и </w:t>
      </w:r>
      <w:proofErr w:type="spellStart"/>
      <w:r>
        <w:rPr>
          <w:rFonts w:cs="Times New Roman"/>
          <w:i/>
          <w:iCs/>
          <w:sz w:val="28"/>
          <w:szCs w:val="28"/>
        </w:rPr>
        <w:t>ауксохромных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gramStart"/>
      <w:r>
        <w:rPr>
          <w:rFonts w:cs="Times New Roman"/>
          <w:sz w:val="28"/>
          <w:szCs w:val="28"/>
        </w:rPr>
        <w:t>которые</w:t>
      </w:r>
      <w:proofErr w:type="gramEnd"/>
      <w:r>
        <w:rPr>
          <w:rFonts w:cs="Times New Roman"/>
          <w:sz w:val="28"/>
          <w:szCs w:val="28"/>
        </w:rPr>
        <w:t xml:space="preserve"> в присутствии хромофорных также влияют на окраску. Присоединение или отщепление протона по этой теории вызыв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ет перестройку молекулы индикатора, в результате которой появляются 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вые или исчезают существовавшие ранее хромофорные группы и таким обр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зом происходит изменение цвета индикатора. </w:t>
      </w:r>
      <w:proofErr w:type="gramStart"/>
      <w:r>
        <w:rPr>
          <w:rFonts w:cs="Times New Roman"/>
          <w:sz w:val="28"/>
          <w:szCs w:val="28"/>
        </w:rPr>
        <w:t>Структурные изменения в ра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творах метилового оранжевого при изменении рН можно представить сх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мой:</w:t>
      </w:r>
      <w:proofErr w:type="gramEnd"/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6840"/>
      </w:tblGrid>
      <w:tr w:rsidR="007E0788" w:rsidTr="00726AF5">
        <w:trPr>
          <w:trHeight w:val="2987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</w:rPr>
              <w:lastRenderedPageBreak/>
              <w:drawing>
                <wp:inline distT="0" distB="0" distL="0" distR="0" wp14:anchorId="1CD1E609" wp14:editId="3B72B57F">
                  <wp:extent cx="3695700" cy="2514600"/>
                  <wp:effectExtent l="1905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воде, нейтральном и щелочном растворе метиловый оранжевый им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ет жёлтую окраску (форма 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), при подкислении структура молекулы изм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няется и индикатор приобретает красную окраску (форма </w:t>
      </w:r>
      <w:r>
        <w:rPr>
          <w:rFonts w:cs="Times New Roman"/>
          <w:sz w:val="28"/>
          <w:szCs w:val="28"/>
          <w:lang w:val="en-US"/>
        </w:rPr>
        <w:t>Hind</w:t>
      </w:r>
      <w:r>
        <w:rPr>
          <w:rFonts w:cs="Times New Roman"/>
          <w:sz w:val="28"/>
          <w:szCs w:val="28"/>
        </w:rPr>
        <w:t>).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Другим широко применяемым индикатором в методах кислотно-основного титрования является фенолфталеин, структурные </w:t>
      </w:r>
      <w:proofErr w:type="gramStart"/>
      <w:r>
        <w:rPr>
          <w:rFonts w:cs="Times New Roman"/>
          <w:sz w:val="28"/>
          <w:szCs w:val="28"/>
        </w:rPr>
        <w:t>изменения</w:t>
      </w:r>
      <w:proofErr w:type="gramEnd"/>
      <w:r>
        <w:rPr>
          <w:rFonts w:cs="Times New Roman"/>
          <w:sz w:val="28"/>
          <w:szCs w:val="28"/>
        </w:rPr>
        <w:t xml:space="preserve"> в м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лекуле которого также связаны с изменением рН. Упрощённая схема этих изменений имеет вид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9468"/>
      </w:tblGrid>
      <w:tr w:rsidR="007E0788" w:rsidTr="00726AF5">
        <w:trPr>
          <w:trHeight w:val="337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ind w:firstLine="3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7EEE71A8" wp14:editId="1C8B2F5F">
                  <wp:extent cx="5524500" cy="1714500"/>
                  <wp:effectExtent l="1905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кислых и нейтральных растворах фенолфталеин бесцветен (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 xml:space="preserve">), в щелочной среде он приобретает красный цвет (форма 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 xml:space="preserve">). 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качестве кислотно-основных индикаторов используются многие другие группы соединений: </w:t>
      </w:r>
      <w:proofErr w:type="spellStart"/>
      <w:r>
        <w:rPr>
          <w:rFonts w:cs="Times New Roman"/>
          <w:sz w:val="28"/>
          <w:szCs w:val="28"/>
        </w:rPr>
        <w:t>сульфофталеины</w:t>
      </w:r>
      <w:proofErr w:type="spellEnd"/>
      <w:r>
        <w:rPr>
          <w:rFonts w:cs="Times New Roman"/>
          <w:sz w:val="28"/>
          <w:szCs w:val="28"/>
        </w:rPr>
        <w:t xml:space="preserve"> (тимоловый синий и др.), триф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нилметановые красители (метиловый фиолетовый и др.).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Смешением нескольких индикаторов получают так называемый </w:t>
      </w:r>
      <w:r>
        <w:rPr>
          <w:rFonts w:cs="Times New Roman"/>
          <w:i/>
          <w:iCs/>
          <w:sz w:val="28"/>
          <w:szCs w:val="28"/>
        </w:rPr>
        <w:t>ун</w:t>
      </w:r>
      <w:r>
        <w:rPr>
          <w:rFonts w:cs="Times New Roman"/>
          <w:i/>
          <w:iCs/>
          <w:sz w:val="28"/>
          <w:szCs w:val="28"/>
        </w:rPr>
        <w:t>и</w:t>
      </w:r>
      <w:r>
        <w:rPr>
          <w:rFonts w:cs="Times New Roman"/>
          <w:i/>
          <w:iCs/>
          <w:sz w:val="28"/>
          <w:szCs w:val="28"/>
        </w:rPr>
        <w:t>версальный индикатор</w:t>
      </w:r>
      <w:r>
        <w:rPr>
          <w:rFonts w:cs="Times New Roman"/>
          <w:sz w:val="28"/>
          <w:szCs w:val="28"/>
        </w:rPr>
        <w:t>, непрерывно изменяющий свою окраску в широком интервале рН и пригодный для приближённого определения рН в этом и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тервале.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качестве кислотно-основных индикаторов могут быть также слабые органические основания. Если</w:t>
      </w:r>
      <w:proofErr w:type="gramStart"/>
      <w:r>
        <w:rPr>
          <w:rFonts w:cs="Times New Roman"/>
          <w:sz w:val="28"/>
          <w:szCs w:val="28"/>
        </w:rPr>
        <w:t xml:space="preserve"> В</w:t>
      </w:r>
      <w:proofErr w:type="gramEnd"/>
      <w:r>
        <w:rPr>
          <w:rFonts w:cs="Times New Roman"/>
          <w:sz w:val="28"/>
          <w:szCs w:val="28"/>
        </w:rPr>
        <w:t xml:space="preserve"> – молекула такого индикатора, то его вза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модействие с протоном будет описываться схемой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00"/>
        <w:gridCol w:w="1080"/>
      </w:tblGrid>
      <w:tr w:rsidR="007E0788" w:rsidTr="00726AF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+ Н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 xml:space="preserve"> = ВН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(4.6)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7E0788" w:rsidRDefault="007E0788" w:rsidP="007E0788">
      <w:pPr>
        <w:jc w:val="both"/>
        <w:rPr>
          <w:rFonts w:cs="Times New Roman"/>
          <w:sz w:val="28"/>
          <w:szCs w:val="28"/>
          <w:vertAlign w:val="subscript"/>
        </w:rPr>
      </w:pPr>
      <w:r>
        <w:rPr>
          <w:rFonts w:cs="Times New Roman"/>
          <w:sz w:val="28"/>
          <w:szCs w:val="28"/>
        </w:rPr>
        <w:t xml:space="preserve">Процесс (4.6) характеризуется константой </w:t>
      </w:r>
      <w:proofErr w:type="spellStart"/>
      <w:r>
        <w:rPr>
          <w:rFonts w:cs="Times New Roman"/>
          <w:sz w:val="28"/>
          <w:szCs w:val="28"/>
        </w:rPr>
        <w:t>протонирования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i/>
          <w:iCs/>
          <w:sz w:val="28"/>
          <w:szCs w:val="28"/>
        </w:rPr>
        <w:t>К</w:t>
      </w:r>
      <w:r>
        <w:rPr>
          <w:rFonts w:cs="Times New Roman"/>
          <w:sz w:val="28"/>
          <w:szCs w:val="28"/>
          <w:vertAlign w:val="subscript"/>
        </w:rPr>
        <w:t>Пр</w:t>
      </w:r>
      <w:proofErr w:type="spellEnd"/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8100"/>
      </w:tblGrid>
      <w:tr w:rsidR="007E0788" w:rsidTr="00726AF5"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 w:rsidRPr="00C34AD8">
              <w:rPr>
                <w:rFonts w:cs="Times New Roman"/>
                <w:position w:val="-34"/>
                <w:sz w:val="28"/>
                <w:szCs w:val="28"/>
              </w:rPr>
              <w:object w:dxaOrig="3340" w:dyaOrig="780">
                <v:shape id="_x0000_i1034" type="#_x0000_t75" style="width:167.1pt;height:38.7pt" o:ole="">
                  <v:imagedata r:id="rId25" o:title=""/>
                </v:shape>
                <o:OLEObject Type="Embed" ProgID="Equation.3" ShapeID="_x0000_i1034" DrawAspect="Content" ObjectID="_1412323064" r:id="rId26"/>
              </w:objec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Частицы</w:t>
      </w:r>
      <w:proofErr w:type="gramStart"/>
      <w:r>
        <w:rPr>
          <w:rFonts w:cs="Times New Roman"/>
          <w:sz w:val="28"/>
          <w:szCs w:val="28"/>
        </w:rPr>
        <w:t xml:space="preserve"> В</w:t>
      </w:r>
      <w:proofErr w:type="gramEnd"/>
      <w:r>
        <w:rPr>
          <w:rFonts w:cs="Times New Roman"/>
          <w:sz w:val="28"/>
          <w:szCs w:val="28"/>
        </w:rPr>
        <w:t xml:space="preserve"> и ВН</w:t>
      </w:r>
      <w:r>
        <w:rPr>
          <w:rFonts w:cs="Times New Roman"/>
          <w:sz w:val="28"/>
          <w:szCs w:val="28"/>
          <w:vertAlign w:val="superscript"/>
        </w:rPr>
        <w:t>+</w:t>
      </w:r>
      <w:r>
        <w:rPr>
          <w:rFonts w:cs="Times New Roman"/>
          <w:sz w:val="28"/>
          <w:szCs w:val="28"/>
        </w:rPr>
        <w:t xml:space="preserve"> имеют разную окраску. Для индикатора-основания сохр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няются в силе все те соображения, которые были высказаны ранее об индикаторе-кислоте относительно интервала перехода и других свойствах и х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рактеристиках.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Существенное влияние на константу диссоциации индикатора, его интервал перехода, область рН перехода, спектральные и другие свойства и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 xml:space="preserve">дикатора оказывают многие внешние факторы: температура, присутствие нейтральных электролитов, неводных растворителей, коллоидов </w:t>
      </w:r>
      <w:proofErr w:type="spellStart"/>
      <w:r>
        <w:rPr>
          <w:rFonts w:cs="Times New Roman"/>
          <w:sz w:val="28"/>
          <w:szCs w:val="28"/>
        </w:rPr>
        <w:t>ит.д</w:t>
      </w:r>
      <w:proofErr w:type="spellEnd"/>
      <w:r>
        <w:rPr>
          <w:rFonts w:cs="Times New Roman"/>
          <w:sz w:val="28"/>
          <w:szCs w:val="28"/>
        </w:rPr>
        <w:t>. Нал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чие в растворе индикатора так называемых посторонних нейтральных эле</w:t>
      </w:r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тролитов вызывает солевой эффект. Уравнение (4.7) показывает, что чем выше заряд ионизированных форм индикатора (</w:t>
      </w:r>
      <w:proofErr w:type="spellStart"/>
      <w:r>
        <w:rPr>
          <w:rFonts w:cs="Times New Roman"/>
          <w:sz w:val="28"/>
          <w:szCs w:val="28"/>
          <w:lang w:val="en-US"/>
        </w:rPr>
        <w:t>HInd</w:t>
      </w:r>
      <w:r>
        <w:rPr>
          <w:rFonts w:cs="Times New Roman"/>
          <w:sz w:val="28"/>
          <w:szCs w:val="28"/>
          <w:vertAlign w:val="superscript"/>
          <w:lang w:val="en-US"/>
        </w:rPr>
        <w:t>z</w:t>
      </w:r>
      <w:proofErr w:type="spellEnd"/>
      <w:r>
        <w:rPr>
          <w:rFonts w:cs="Times New Roman"/>
          <w:sz w:val="28"/>
          <w:szCs w:val="28"/>
          <w:vertAlign w:val="superscript"/>
        </w:rPr>
        <w:t>+</w:t>
      </w:r>
      <w:r>
        <w:rPr>
          <w:rFonts w:cs="Times New Roman"/>
          <w:sz w:val="28"/>
          <w:szCs w:val="28"/>
        </w:rPr>
        <w:t xml:space="preserve"> или </w:t>
      </w:r>
      <w:proofErr w:type="spellStart"/>
      <w:r>
        <w:rPr>
          <w:rFonts w:cs="Times New Roman"/>
          <w:sz w:val="28"/>
          <w:szCs w:val="28"/>
          <w:lang w:val="en-US"/>
        </w:rPr>
        <w:t>Ind</w:t>
      </w:r>
      <w:r>
        <w:rPr>
          <w:rFonts w:cs="Times New Roman"/>
          <w:sz w:val="28"/>
          <w:szCs w:val="28"/>
          <w:vertAlign w:val="superscript"/>
          <w:lang w:val="en-US"/>
        </w:rPr>
        <w:t>z</w:t>
      </w:r>
      <w:proofErr w:type="spellEnd"/>
      <w:r>
        <w:rPr>
          <w:rFonts w:cs="Times New Roman"/>
          <w:sz w:val="28"/>
          <w:szCs w:val="28"/>
          <w:vertAlign w:val="superscript"/>
        </w:rPr>
        <w:t>-</w:t>
      </w:r>
      <w:r>
        <w:rPr>
          <w:rFonts w:cs="Times New Roman"/>
          <w:sz w:val="28"/>
          <w:szCs w:val="28"/>
        </w:rPr>
        <w:t>), тем заме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нее будет солевой эффект, вызывающий обычно уменьшение числового зн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чения </w:t>
      </w:r>
      <w:proofErr w:type="spellStart"/>
      <w:proofErr w:type="gramStart"/>
      <w:r>
        <w:rPr>
          <w:rFonts w:cs="Times New Roman"/>
          <w:sz w:val="28"/>
          <w:szCs w:val="28"/>
        </w:rPr>
        <w:t>р</w:t>
      </w:r>
      <w:r>
        <w:rPr>
          <w:rFonts w:cs="Times New Roman"/>
          <w:i/>
          <w:iCs/>
          <w:sz w:val="28"/>
          <w:szCs w:val="28"/>
        </w:rPr>
        <w:t>К</w:t>
      </w:r>
      <w:proofErr w:type="gramEnd"/>
      <w:r>
        <w:rPr>
          <w:rFonts w:cs="Times New Roman"/>
          <w:sz w:val="28"/>
          <w:szCs w:val="28"/>
          <w:vertAlign w:val="subscript"/>
          <w:lang w:val="en-US"/>
        </w:rPr>
        <w:t>HInd</w:t>
      </w:r>
      <w:proofErr w:type="spellEnd"/>
      <w:r>
        <w:rPr>
          <w:rFonts w:cs="Times New Roman"/>
          <w:sz w:val="28"/>
          <w:szCs w:val="28"/>
        </w:rPr>
        <w:t>, т. е. увеличение концентрационной константы диссоциации и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дикатора, и, как следствие смещение интервала перехода. У биполярных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7020"/>
        <w:gridCol w:w="1080"/>
      </w:tblGrid>
      <w:tr w:rsidR="007E0788" w:rsidTr="00726AF5"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 w:rsidRPr="00C34AD8">
              <w:rPr>
                <w:rFonts w:cs="Times New Roman"/>
                <w:position w:val="-32"/>
                <w:sz w:val="28"/>
                <w:szCs w:val="28"/>
              </w:rPr>
              <w:object w:dxaOrig="3720" w:dyaOrig="760">
                <v:shape id="_x0000_i1035" type="#_x0000_t75" style="width:186.1pt;height:38.7pt" o:ole="">
                  <v:imagedata r:id="rId27" o:title=""/>
                </v:shape>
                <o:OLEObject Type="Embed" ProgID="Equation.3" ShapeID="_x0000_i1035" DrawAspect="Content" ObjectID="_1412323065" r:id="rId28"/>
              </w:object>
            </w:r>
            <w:r>
              <w:rPr>
                <w:rFonts w:cs="Times New Roman"/>
                <w:sz w:val="28"/>
                <w:szCs w:val="28"/>
              </w:rPr>
              <w:t>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88" w:rsidRDefault="007E0788" w:rsidP="00726AF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(4.7)</w:t>
            </w:r>
          </w:p>
        </w:tc>
      </w:tr>
    </w:tbl>
    <w:p w:rsidR="007E0788" w:rsidRDefault="007E0788" w:rsidP="007E0788">
      <w:pPr>
        <w:jc w:val="both"/>
        <w:rPr>
          <w:rFonts w:cs="Times New Roman"/>
        </w:rPr>
      </w:pPr>
      <w:r>
        <w:rPr>
          <w:rFonts w:cs="Times New Roman"/>
        </w:rPr>
        <w:t xml:space="preserve">здесь </w:t>
      </w:r>
      <w:r>
        <w:rPr>
          <w:rFonts w:cs="Times New Roman"/>
          <w:i/>
          <w:iCs/>
        </w:rPr>
        <w:t>К</w:t>
      </w:r>
      <w:proofErr w:type="gramStart"/>
      <w:r>
        <w:rPr>
          <w:rFonts w:cs="Times New Roman"/>
          <w:vertAlign w:val="superscript"/>
        </w:rPr>
        <w:t>0</w:t>
      </w:r>
      <w:proofErr w:type="gramEnd"/>
      <w:r>
        <w:rPr>
          <w:rFonts w:cs="Times New Roman"/>
        </w:rPr>
        <w:t xml:space="preserve"> – константа равновесия в отсутствии электролита, </w:t>
      </w:r>
      <w:r>
        <w:rPr>
          <w:rFonts w:cs="Times New Roman"/>
          <w:i/>
          <w:iCs/>
        </w:rPr>
        <w:t>А</w:t>
      </w:r>
      <w:r>
        <w:rPr>
          <w:rFonts w:cs="Times New Roman"/>
        </w:rPr>
        <w:t xml:space="preserve"> – величина, вычисляемая теоретически, </w:t>
      </w:r>
      <w:proofErr w:type="spellStart"/>
      <w:r>
        <w:rPr>
          <w:rFonts w:cs="Times New Roman"/>
        </w:rPr>
        <w:t>Δν</w:t>
      </w:r>
      <w:proofErr w:type="spellEnd"/>
      <w:r>
        <w:rPr>
          <w:rFonts w:cs="Times New Roman"/>
        </w:rPr>
        <w:t xml:space="preserve"> – разность сумм стехиометрических коэффициентов правой и левой части уравнения, </w:t>
      </w:r>
      <w:r>
        <w:rPr>
          <w:rFonts w:cs="Times New Roman"/>
          <w:i/>
          <w:iCs/>
          <w:lang w:val="en-US"/>
        </w:rPr>
        <w:t>z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– разница квадратов зарядов правой и левой части химического уравн</w:t>
      </w:r>
      <w:r>
        <w:rPr>
          <w:rFonts w:cs="Times New Roman"/>
        </w:rPr>
        <w:t>е</w:t>
      </w:r>
      <w:r>
        <w:rPr>
          <w:rFonts w:cs="Times New Roman"/>
        </w:rPr>
        <w:t xml:space="preserve">ния и </w:t>
      </w:r>
      <w:r>
        <w:rPr>
          <w:rFonts w:cs="Times New Roman"/>
          <w:i/>
          <w:iCs/>
          <w:lang w:val="en-US"/>
        </w:rPr>
        <w:t>I</w:t>
      </w:r>
      <w:r>
        <w:rPr>
          <w:rFonts w:cs="Times New Roman"/>
        </w:rPr>
        <w:t xml:space="preserve"> – ионная сила.</w:t>
      </w: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</w:p>
    <w:p w:rsidR="007E0788" w:rsidRDefault="007E0788" w:rsidP="007E0788">
      <w:pPr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цвиттер</w:t>
      </w:r>
      <w:proofErr w:type="spellEnd"/>
      <w:r>
        <w:rPr>
          <w:rFonts w:cs="Times New Roman"/>
          <w:sz w:val="28"/>
          <w:szCs w:val="28"/>
        </w:rPr>
        <w:t>-ионов этот эффект сравнительно невелик. Изменение окраски инд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катора часто связывают со сдвигом равновесия диссоциации индикатора, х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тя в действительности введение электролита увеличивает диссоциацию не только индикатора, но и слабой кислоты, находящейся в растворе. Наличие нейтральных солей в растворе часто вызывает уменьшение интенсивности окраски индикатора.</w:t>
      </w:r>
    </w:p>
    <w:p w:rsidR="00B15ADF" w:rsidRDefault="00B15ADF">
      <w:bookmarkStart w:id="0" w:name="_GoBack"/>
      <w:bookmarkEnd w:id="0"/>
    </w:p>
    <w:sectPr w:rsidR="00B1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88"/>
    <w:rsid w:val="007E0788"/>
    <w:rsid w:val="00B1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88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88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2012-10-21T07:01:00Z</dcterms:created>
  <dcterms:modified xsi:type="dcterms:W3CDTF">2012-10-21T07:01:00Z</dcterms:modified>
</cp:coreProperties>
</file>