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1A" w:rsidRPr="00A17943" w:rsidRDefault="005E671A" w:rsidP="005E67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Речевые тактики</w:t>
      </w:r>
    </w:p>
    <w:p w:rsidR="005E671A" w:rsidRPr="00A17943" w:rsidRDefault="005E671A" w:rsidP="005E67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Понятие «стратегии» и «тактики» речевого общения.</w:t>
      </w:r>
    </w:p>
    <w:p w:rsidR="005E671A" w:rsidRPr="00A17943" w:rsidRDefault="005E671A" w:rsidP="005E67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Стратегии и тактики в  споре.</w:t>
      </w:r>
    </w:p>
    <w:p w:rsidR="005E671A" w:rsidRPr="00A17943" w:rsidRDefault="005E671A" w:rsidP="005E67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Речевые тактики в деловом общении.</w:t>
      </w:r>
    </w:p>
    <w:p w:rsidR="005E671A" w:rsidRDefault="005E671A" w:rsidP="005E67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Речевые тактики, выделенные Т.А.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ан Дейком.</w:t>
      </w:r>
    </w:p>
    <w:p w:rsidR="005E671A" w:rsidRDefault="005E671A" w:rsidP="005E6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71A" w:rsidRPr="00A17943" w:rsidRDefault="005E671A" w:rsidP="005E67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Бредемайер К. Черная риторика: Власть и магия слова. – М., 2005.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207 – 221.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Ивин А.А. Риторика: искусство убеждать. – М., 2002. С. 168 – 213.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Клюев Е.В. Риторика. – М., 1999. С. 149 – 167.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Михальская А.К. Основы риторики. – М., 2001. С.428 – 423.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Культура русской речи / Под ред. проф. Л.К.Граудиной и проф. Е.Н. Ширяева. – М., 2003. С. 163 – 168.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206 – 220.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Поварнин С. Спор. О теории и практике спора // Вопросы философии. 1990. № 3.</w:t>
      </w:r>
    </w:p>
    <w:p w:rsidR="005E671A" w:rsidRPr="005E671A" w:rsidRDefault="005E671A" w:rsidP="005E671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71A">
        <w:rPr>
          <w:rFonts w:ascii="Times New Roman" w:eastAsia="Times New Roman" w:hAnsi="Times New Roman"/>
          <w:sz w:val="24"/>
          <w:szCs w:val="24"/>
          <w:lang w:eastAsia="ru-RU"/>
        </w:rPr>
        <w:t>Сергеечева В. Приемы убеждения. Стратегия и тактика общения. – СПб., 2002.</w:t>
      </w:r>
    </w:p>
    <w:p w:rsidR="005E671A" w:rsidRDefault="005E671A" w:rsidP="005E6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71A" w:rsidRPr="00A17943" w:rsidRDefault="005E671A" w:rsidP="005E6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Стратегия речевого общения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процесс построения коммуникации, направленной на достижение долговременных результатов. Стратегия подразумевает планирование речевого взаимодействия в зависимости от конкретных условий общения и личностных качеств участников коммуникативного акта.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Тактика речевого общения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это совокупность приемов ведения беседы или линия поведения на определенном этапе коммуникации. Тактика предполагает использование определенных приемов привлечения внимания, воздействия на партнеров (Штрекер Н.Ю., 2003).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2-3.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Различают различные речевые тактики в зависимости от ситуации общения :  в ситуации бытового общения могут действовать одни речевые так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тики, в деловой сфере — другие, в ситуации спора – третьи. Вместе с  тем эти тактики могут взаимодействовать, использоваться в совокупности.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споре различают две основные стратегии –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конструктивную и конфликтную (де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структивную)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Конструктивная стратегия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стратегия, подразумевающая, что участники спора стре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мятся найти истину, понять позиции, тезисы и оценить дока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зательства оппонента. Спорящие  стараются действовать корректно, рассуждать объективно, будучи заинтересованными прежде всего не в своей победе, а в истине и в обсуж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даемом предмете.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конфликтной (де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структивной)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стратегии, основная цель спорящих – победа над оппонентом любой ценой. При этом  используются  все возможные средства – корректные и некоррект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ные, логические и психологические аргументы, любые уловки.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споре А.М. Михальская выделяет  две тактики: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тактику пропонента и тактику оппонента.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Пропонент – участник спора, выдвигающий и доказывающий тезис.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Оппонент – тот, кто опровергает выдвинутый другим тезис.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Тактика пропонента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«нападении»; эта тактика реализуется через: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1) непосредственное  обращение к адресату со сво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им тезисом, который подтверждается прямыми доказа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тельствами с опорой на факты, цифры и т. д. Возможные воз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ражения предупреждаются, пока они еще не высказаны;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2) использование приема  «опроса-допроса»: вопросы к противнику следуют один за другим, так что он вынуж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ден принять модель поведения, навязываемую ему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говорящим, и, отвечая на вопросы, обнаружить свою позицию раньше и ярче, более открыто, чем ему бы хотелось. При таком «допросе», если вопросы следуют в быстром темпе, вполне вероятны ошибки, противоречия, неуверенность, что и используется «нападающим».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3)употребление «вопросов-капканов», которые требуют ответа типа «да/нет», напри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мер: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Вы, конечно, признаете, что…?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Тогда противника «под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лавливают» на ошибке и демонстрируют слабость его пози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ции. Против этого приема рекомендуется применять прием «игнорирования»:   вопрос противника вы оставляете без ответа, «ломая модель», и задаете свой собственный, пере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ходя в «наступление».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Тактика оппонента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защита с пере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ходом в наступление. Используются следующие при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емы: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а) метод — «да, но…»: вы как бы соглашае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тесь с высказыванием противника, а затем переходите к опровержению. К этому близок прием «видимой поддержки»: вы «поддакиваете» противнику, а затем говорите: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Конечно, все это верно, толь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ко вы забыли сказать то-то и то-то, но это все равно не поможет, потому что…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Далее переходите в «нападение»;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б)   «метод   кусков»: аргументация   против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ника оценивается по частям: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Это справедливо, это точно, это банально, это неполно, это сомнительно, а вот это уж, простите, неверно.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Именно на этом послед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нем аргументе и сосредоточивают внимание, строят опровер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в)   «метод суммирования» тоже хорош для перехо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в «наступление». Вы подытоживаете позицию оппонента так, как она вам видится, и на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чинаете опровержение: 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Значит, вы утверждаете то-то и то-то, потому-то и потому-то. Можно было бы с вами согласиться, если бы не…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 далее немедленно перехо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дите к «нападению».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этих тактик в споре могут использоваться и другие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корректные и некорректные тактические приемы.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Корректные тактические приемы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создание трудностей оппоненту;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отвлечение внимания противника от той мысли, которую хотят оставить без критики;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применение доводов противника для опровержения его же тезиса;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концентрация аргументов — накопление в поле аргументации таких доводов, которые независимо от других поддерживают собственный тезис и опровергают тезис противника;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деконцентрация аргументов оппонента по формуле «Разделяй и властвуй»;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перекладывание тягот доказательства на плечи оппонента;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представление наиболее сильного аргумента в конце полемики — реализация принципа «чаще побеждает тот, кто говорит последний», несомненно, надо иметь в запасе сильный довод по существу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выдвижение обоюдоострого аргумента;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отказ от доказывания очевидного;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подготовка сильного аргумента;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оттягивание возражения;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занятие гибкой позиции с тем, чтобы иметь возможность маневрировать в меняющихся условиях;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уси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давления (атака на слабое звено в аргументации против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не упуская инициативы)</w:t>
      </w:r>
    </w:p>
    <w:p w:rsidR="005E671A" w:rsidRPr="00A17943" w:rsidRDefault="005E671A" w:rsidP="005E67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Взять слово в конце спора, чтобы лишить возможности противника ответить на аргумент.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Некорректные тактические приемы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уклонение от темы;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искажение предмета обсуждения;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лишение оппонента возможности говорить;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демонстрация силы;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апелляция к тайным мыслям оппонента;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выражение своих мыслей в форме, затрудняющей понимание;</w:t>
      </w:r>
    </w:p>
    <w:p w:rsidR="005E671A" w:rsidRPr="00A17943" w:rsidRDefault="005E671A" w:rsidP="005E67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намеренно быстрая речь.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Что касается сферы делового общения, то специалисты вы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деляют в ней целый ряд специфических речевых тактик. Вот некоторые из них (по О.Я. Гойхману и Т.М. Надеиной):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«Неожиданность»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использование в речи неожиданной или неизвестной слушателям информации.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«Провокация»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на короткое время вызывается реакция не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согласия с излагаемой информацией, чтобы использовать этот период для подготовки слушателей к конструктивным выводам, для уточнения и более четкого определения собственной пози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«Апелляция к авторитету»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для подтверждения правиль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излагаемой информации дается ссылка на авторитет слу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шателей, авторитет науки, авторитет известных ученых, социо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логов, политологов, деятелей культуры.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«Прогнозирование»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основываясь на реальных фактах, да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прогнозы развития ожидаемых событий, чтобы подчеркнуть необходимые ценностные ориентации, определяющие интере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требования, пожелания.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«Внесение элемента неформальности»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учитывая предмет речи, рассказать аудитории, деловому партнеру о собственных заблуждениях, предрассудках, ошибках и их последствиях, что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показать, каким образом удалось избежать одностороннего подхода к той или иной проблеме и найти ее новое решение. Это позволит преодолеть сдержанность и предвзятость и изме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нить мнение в свою пользу.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«Прямое включение»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отказаться от растянутого вступле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особенно если партнеры знакомы с предметом речи и име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необходимый предварительный запас знаний. Это избавит вас от необходимости разъяснять все с самого начала, повысит информативность речи и позволит выиграть время для обсуж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проблемы.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«Юмор».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Хорошее чувство юмора, умение к месту привести шутку или каламбур в сочетании с невербальными элементами (улыбкой, например) позволят добиться успеха в речевой ком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муникации любого уровня.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«Да-да-да»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партнеру задается три-четыре вопроса, на ко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торые он обязательно должен ответить «да». Тогда, вероятнее всего, и на основной вопрос он также ответит положительно. Эту тактику изобрел великий древ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негреческий философ Сократ и блестяще использовал для убеж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собеседников.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«Черный оппонент»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тактика, противоположная только что описанной. Суть ее в следующем. Партнеру по общению зада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несколько вопросов с таким расчетом, чтобы на один из них он не смог ответить. Тогда незамедлительно произносится речевая формула: «Вот видите, вопрос не подготовлен».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тактики «черный оппонент» следует иметь в виду: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вопросов не должно быть более трех, в противном случае тактика разрушается и налицо просто предвзятое отношение к собеседнику;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вопросы должны быть достаточно сложными, в ряде случаев неразрешимыми, поскольку, если партнер ответит на все во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просы, тактика не сработала;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речевая формула произносится при первом же затруднении с ответом, прекращая (пытаясь прекратить) речевое взаимодей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ствие;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не следует позволять партнеру развивать свой ответ или, осо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бенно, перехватить речевую инициативу.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«Утрирование».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Используя данную тактику, вы сознательно преувеличиваете значение отдельных фактов, мнений и т.д.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Различные речевые тактики исследовал известный голландский ученый, один из основателей линг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вистики текста, Т.А. ван Дейк.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 помощью специально разработанного интервью по данно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проекту опрашивались жители различных районов Амстер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дама. Это позволило ван Дейку выделить около тридцати ходов в построении речи, выражающей предубежденность. Например, «предположение», «смягчение», «утрирование», «сдвиг», «взва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ливание вины на другого», «повтор», «приведение примера» и др. Эксперимент показал, что ходы могут выполнять несколь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функций одновременно. О.Я. Гойхман и Т.М. Надеина считают, что они выходят за рамки изучения взаимо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отношений с этническими меньшинствами. В частности, их можно использовать и в деловой сфере. Авторы в учебнике «Речевая коммуникация» рассматривают следующие тактики, выделенные Ван Дейком.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«обобщение»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используется для того, чтобы показать, что неблагоприятная информация, толь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что приведенная или имеющая быть приведенной, например в случае из жизни, не просто «случайна» или «исключительна»; тем самым подкрепляется возможное общее мнение.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Типовые выражения этого хода: «И так всегда», «С этим стал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киваешься на каждом шагу», «Это без конца повторяется».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«Приведение примера»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ход, показывающий, что общее мнение основано на конкретных фактах (опыте).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выражения: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«Вот пример», «Например, на прошлой неделе», «Возьмите нашего соседа. Он…».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«Усиление»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направлено на лучший или более эффективный контроль за вниманием слушающего («привлечение внимания»), на улучшение структурной организации неблагоприятной ин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формации, на подчеркивание субъективной макроинформации.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выражения: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«Это ужасно, что…», «Это позор, что…».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«Уступка»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для условного обобщения даже в случае привлечения противоречивых примеров либо позволя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продемонстрировать реальную или воображаемую терпимость и сочувствие, то есть составляющие части стратегии положи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самопрезентации.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Типичные выражения: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«Среди них попадаются и хорошие люди», «Не стоит обобщать, но…», «Голландцы тоже могут так поступать» (последнее является также ходом «сравнение»).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«Сдвиг»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— ход стратегии положительной самопрезентации.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Типичный пример: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«Мне-то, в общем, все равно, но другие со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седи с нашей улицы возмущаются».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«Контраст»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ход, имеющий несколько функций. Ритори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ческую: привлечение внимания к участникам отношения кон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траста (структурирование информации). Семантическую: под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черкивание положительных и отрицательных оценок людей, их действий или свойств (часто путем противопоставления МЫ-группы и ОНИ-группы) — и все ситуации, где прослеживается конфликт интересов.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Типичный пример: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«Нам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приходилось долгие годы трудиться, а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они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получают пособие и ничего не делают»,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«Нам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пришлось дол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гие годы ждать новой квартиры, а </w:t>
      </w: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они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получают квартиру сразу же, как только приедут».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 системе речевой коммуникации может использоваться множество речевых тактик. Так, например, психолог В.Сергеечева предлагает следующие тактики: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«Закон примера»;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«Закон негативного примера»;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«Закон ассоциаций»;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«Крепкий орешек» –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показ образцов, проблем, задач по каким-то причинам доступным не всем. Эта тактика может сыграть роль брошенного вызова.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«Запретный плод»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как известно какой-либо запрет обычно вызывает обратную реакцию.</w:t>
      </w:r>
    </w:p>
    <w:p w:rsidR="005E671A" w:rsidRPr="00A17943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Перечисленные тактики не исчерпывают всего многообразия способов убеждения. Тем не менее, важно уметь применять тактики согласно ситуации, а также использовать их с учетом особенностей коммуникантов.</w:t>
      </w:r>
    </w:p>
    <w:p w:rsidR="005E671A" w:rsidRDefault="005E671A" w:rsidP="005E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A4012D" w:rsidRPr="00A17943" w:rsidRDefault="00A4012D" w:rsidP="00A401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определения понятия «стратегии» и «тактики» речевого общения.</w:t>
      </w:r>
    </w:p>
    <w:p w:rsidR="00A4012D" w:rsidRPr="00A17943" w:rsidRDefault="00A4012D" w:rsidP="00A401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стратегии и тактики в  споре.</w:t>
      </w:r>
    </w:p>
    <w:p w:rsidR="00A4012D" w:rsidRPr="00A17943" w:rsidRDefault="00A4012D" w:rsidP="00A401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Опишите речевые тактики в деловом общении.</w:t>
      </w:r>
    </w:p>
    <w:p w:rsidR="00A4012D" w:rsidRPr="00A17943" w:rsidRDefault="00A4012D" w:rsidP="00A401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речевые тактики, выделенные Т.А. ван Дейком.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Бредемайер К. Черная риторика: Власть и магия слова. – М., 2005.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207 – 221.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Ивин А.А. Риторика: искусство убеждать. – М., 2002. С. 168 – 213.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Клюев Е.В. Риторика. – М., 1999. С. 149 – 167.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Михальская А.К. Основы риторики. – М., 2001. С.428 – 423.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Культура русской речи / Под ред. проф. Л.К.Граудиной и проф. Е.Н. Ширяева. – М., 2003. С. 163 – 168.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206 – 220.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Поварнин С. Спор. О теории и практике спора // Вопросы философии. 1990. № 3.</w:t>
      </w:r>
    </w:p>
    <w:p w:rsidR="00A4012D" w:rsidRPr="00A17943" w:rsidRDefault="00A4012D" w:rsidP="00A40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Сергеечева В. Приемы убеждения. Стратегия и тактика общения. – СПб., 2002.</w:t>
      </w:r>
    </w:p>
    <w:p w:rsidR="00B11ED0" w:rsidRDefault="006A0106">
      <w:bookmarkStart w:id="0" w:name="_GoBack"/>
      <w:bookmarkEnd w:id="0"/>
    </w:p>
    <w:sectPr w:rsidR="00B11ED0" w:rsidSect="007A6E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06" w:rsidRDefault="006A0106" w:rsidP="005E671A">
      <w:pPr>
        <w:spacing w:after="0" w:line="240" w:lineRule="auto"/>
      </w:pPr>
      <w:r>
        <w:separator/>
      </w:r>
    </w:p>
  </w:endnote>
  <w:endnote w:type="continuationSeparator" w:id="0">
    <w:p w:rsidR="006A0106" w:rsidRDefault="006A0106" w:rsidP="005E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020"/>
    </w:sdtPr>
    <w:sdtEndPr/>
    <w:sdtContent>
      <w:p w:rsidR="005E671A" w:rsidRDefault="006A01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1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671A" w:rsidRDefault="005E6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06" w:rsidRDefault="006A0106" w:rsidP="005E671A">
      <w:pPr>
        <w:spacing w:after="0" w:line="240" w:lineRule="auto"/>
      </w:pPr>
      <w:r>
        <w:separator/>
      </w:r>
    </w:p>
  </w:footnote>
  <w:footnote w:type="continuationSeparator" w:id="0">
    <w:p w:rsidR="006A0106" w:rsidRDefault="006A0106" w:rsidP="005E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66A"/>
    <w:multiLevelType w:val="multilevel"/>
    <w:tmpl w:val="6C8A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C7491"/>
    <w:multiLevelType w:val="multilevel"/>
    <w:tmpl w:val="6094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41457"/>
    <w:multiLevelType w:val="hybridMultilevel"/>
    <w:tmpl w:val="2788D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D01DC6"/>
    <w:multiLevelType w:val="multilevel"/>
    <w:tmpl w:val="E9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7670E"/>
    <w:multiLevelType w:val="multilevel"/>
    <w:tmpl w:val="BEFE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71A"/>
    <w:rsid w:val="000E61A3"/>
    <w:rsid w:val="005E671A"/>
    <w:rsid w:val="006A0106"/>
    <w:rsid w:val="007A6ED9"/>
    <w:rsid w:val="00A4012D"/>
    <w:rsid w:val="00EE29D2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A851-44EC-4CB7-B895-8C4C575A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7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2012-03-13T10:48:00Z</dcterms:created>
  <dcterms:modified xsi:type="dcterms:W3CDTF">2018-02-26T07:41:00Z</dcterms:modified>
</cp:coreProperties>
</file>